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E8077C" w14:textId="55D2614C" w:rsidR="00E421BB" w:rsidRDefault="00680EAA" w:rsidP="00680EAA">
      <w:pPr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AILA Texas Spring Conference</w:t>
      </w:r>
    </w:p>
    <w:p w14:paraId="02EB75CF" w14:textId="4BEB51E4" w:rsidR="00680EAA" w:rsidRDefault="00680EAA" w:rsidP="00680EAA">
      <w:pPr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Employment-Based Roundtable</w:t>
      </w:r>
    </w:p>
    <w:p w14:paraId="0E043189" w14:textId="77777777" w:rsidR="00E421BB" w:rsidRDefault="00E421BB" w:rsidP="00E421BB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45814C29" w14:textId="0C5387EE" w:rsidR="00E421BB" w:rsidRDefault="00E421BB"/>
    <w:p w14:paraId="27F5A867" w14:textId="77777777" w:rsidR="00E421BB" w:rsidRPr="00E421BB" w:rsidRDefault="00E421BB" w:rsidP="00E421BB">
      <w:pPr>
        <w:numPr>
          <w:ilvl w:val="0"/>
          <w:numId w:val="1"/>
        </w:numPr>
        <w:spacing w:line="231" w:lineRule="atLeast"/>
        <w:rPr>
          <w:rFonts w:ascii="Calibri" w:eastAsia="Times New Roman" w:hAnsi="Calibri" w:cs="Calibri"/>
          <w:color w:val="000000"/>
          <w:sz w:val="22"/>
          <w:szCs w:val="22"/>
        </w:rPr>
      </w:pPr>
      <w:r w:rsidRPr="00E421BB">
        <w:rPr>
          <w:rFonts w:ascii="Calibri" w:eastAsia="Times New Roman" w:hAnsi="Calibri" w:cs="Calibri"/>
          <w:color w:val="000000"/>
          <w:sz w:val="22"/>
          <w:szCs w:val="22"/>
        </w:rPr>
        <w:t>DOL (PERMs, PWR)</w:t>
      </w:r>
    </w:p>
    <w:p w14:paraId="164A3D67" w14:textId="77777777" w:rsidR="00E421BB" w:rsidRPr="00E421BB" w:rsidRDefault="00E421BB" w:rsidP="00E421BB">
      <w:pPr>
        <w:numPr>
          <w:ilvl w:val="1"/>
          <w:numId w:val="1"/>
        </w:numPr>
        <w:spacing w:line="231" w:lineRule="atLeast"/>
        <w:rPr>
          <w:rFonts w:ascii="Calibri" w:eastAsia="Times New Roman" w:hAnsi="Calibri" w:cs="Calibri"/>
          <w:color w:val="000000"/>
          <w:sz w:val="22"/>
          <w:szCs w:val="22"/>
        </w:rPr>
      </w:pPr>
      <w:r w:rsidRPr="00E421BB">
        <w:rPr>
          <w:rFonts w:ascii="Calibri" w:eastAsia="Times New Roman" w:hAnsi="Calibri" w:cs="Calibri"/>
          <w:color w:val="000000"/>
          <w:sz w:val="22"/>
          <w:szCs w:val="22"/>
        </w:rPr>
        <w:t>Processing times: </w:t>
      </w:r>
      <w:hyperlink r:id="rId8" w:history="1">
        <w:r w:rsidRPr="00E421BB">
          <w:rPr>
            <w:rFonts w:ascii="Calibri" w:eastAsia="Times New Roman" w:hAnsi="Calibri" w:cs="Calibri"/>
            <w:color w:val="0000FF"/>
            <w:sz w:val="22"/>
            <w:szCs w:val="22"/>
            <w:u w:val="single"/>
          </w:rPr>
          <w:t>https://flag.dol.gov/processingtimes</w:t>
        </w:r>
      </w:hyperlink>
    </w:p>
    <w:p w14:paraId="392264EC" w14:textId="77777777" w:rsidR="00E421BB" w:rsidRPr="00E421BB" w:rsidRDefault="00E421BB" w:rsidP="00E421BB">
      <w:pPr>
        <w:numPr>
          <w:ilvl w:val="1"/>
          <w:numId w:val="1"/>
        </w:numPr>
        <w:spacing w:line="231" w:lineRule="atLeast"/>
        <w:rPr>
          <w:rFonts w:ascii="Calibri" w:eastAsia="Times New Roman" w:hAnsi="Calibri" w:cs="Calibri"/>
          <w:color w:val="000000"/>
          <w:sz w:val="22"/>
          <w:szCs w:val="22"/>
        </w:rPr>
      </w:pPr>
      <w:r w:rsidRPr="00E421BB">
        <w:rPr>
          <w:rFonts w:ascii="Calibri" w:eastAsia="Times New Roman" w:hAnsi="Calibri" w:cs="Calibri"/>
          <w:color w:val="000000"/>
          <w:sz w:val="22"/>
          <w:szCs w:val="22"/>
        </w:rPr>
        <w:t>FLAG updates: </w:t>
      </w:r>
      <w:hyperlink r:id="rId9" w:history="1">
        <w:r w:rsidRPr="00E421BB">
          <w:rPr>
            <w:rFonts w:ascii="Calibri" w:eastAsia="Times New Roman" w:hAnsi="Calibri" w:cs="Calibri"/>
            <w:color w:val="0000FF"/>
            <w:sz w:val="22"/>
            <w:szCs w:val="22"/>
            <w:u w:val="single"/>
          </w:rPr>
          <w:t>https://www.aila.org/infonet/dol-flag-updates</w:t>
        </w:r>
      </w:hyperlink>
    </w:p>
    <w:p w14:paraId="778676AA" w14:textId="65EFA014" w:rsidR="00E421BB" w:rsidRPr="00E421BB" w:rsidRDefault="00E421BB" w:rsidP="00E421BB">
      <w:pPr>
        <w:numPr>
          <w:ilvl w:val="1"/>
          <w:numId w:val="1"/>
        </w:numPr>
        <w:spacing w:line="231" w:lineRule="atLeast"/>
        <w:rPr>
          <w:rFonts w:ascii="Calibri" w:eastAsia="Times New Roman" w:hAnsi="Calibri" w:cs="Calibri"/>
          <w:color w:val="000000"/>
          <w:sz w:val="22"/>
          <w:szCs w:val="22"/>
        </w:rPr>
      </w:pPr>
      <w:r w:rsidRPr="00E421BB">
        <w:rPr>
          <w:rFonts w:ascii="Calibri" w:eastAsia="Times New Roman" w:hAnsi="Calibri" w:cs="Calibri"/>
          <w:color w:val="000000"/>
          <w:sz w:val="22"/>
          <w:szCs w:val="22"/>
        </w:rPr>
        <w:t>Prevailing Wages</w:t>
      </w:r>
      <w:r>
        <w:rPr>
          <w:rFonts w:ascii="Calibri" w:eastAsia="Times New Roman" w:hAnsi="Calibri" w:cs="Calibri"/>
          <w:color w:val="000000"/>
          <w:sz w:val="22"/>
          <w:szCs w:val="22"/>
        </w:rPr>
        <w:t>—</w:t>
      </w:r>
      <w:r w:rsidRPr="00E421BB">
        <w:rPr>
          <w:rFonts w:ascii="Calibri" w:eastAsia="Times New Roman" w:hAnsi="Calibri" w:cs="Calibri"/>
          <w:color w:val="000000"/>
          <w:sz w:val="22"/>
          <w:szCs w:val="22"/>
        </w:rPr>
        <w:t>update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on new PW</w:t>
      </w:r>
    </w:p>
    <w:p w14:paraId="7C835C27" w14:textId="77777777" w:rsidR="00E421BB" w:rsidRPr="00E421BB" w:rsidRDefault="00E421BB" w:rsidP="00E421BB">
      <w:pPr>
        <w:numPr>
          <w:ilvl w:val="1"/>
          <w:numId w:val="1"/>
        </w:numPr>
        <w:spacing w:line="231" w:lineRule="atLeast"/>
        <w:rPr>
          <w:rFonts w:ascii="Calibri" w:eastAsia="Times New Roman" w:hAnsi="Calibri" w:cs="Calibri"/>
          <w:color w:val="000000"/>
          <w:sz w:val="22"/>
          <w:szCs w:val="22"/>
        </w:rPr>
      </w:pPr>
      <w:r w:rsidRPr="00E421BB">
        <w:rPr>
          <w:rFonts w:ascii="Calibri" w:eastAsia="Times New Roman" w:hAnsi="Calibri" w:cs="Calibri"/>
          <w:color w:val="000000"/>
          <w:sz w:val="22"/>
          <w:szCs w:val="22"/>
        </w:rPr>
        <w:t xml:space="preserve">Current Trends (corporate layoffs </w:t>
      </w:r>
      <w:proofErr w:type="gramStart"/>
      <w:r w:rsidRPr="00E421BB">
        <w:rPr>
          <w:rFonts w:ascii="Calibri" w:eastAsia="Times New Roman" w:hAnsi="Calibri" w:cs="Calibri"/>
          <w:color w:val="000000"/>
          <w:sz w:val="22"/>
          <w:szCs w:val="22"/>
        </w:rPr>
        <w:t>etc..</w:t>
      </w:r>
      <w:proofErr w:type="gramEnd"/>
      <w:r w:rsidRPr="00E421BB">
        <w:rPr>
          <w:rFonts w:ascii="Calibri" w:eastAsia="Times New Roman" w:hAnsi="Calibri" w:cs="Calibri"/>
          <w:color w:val="000000"/>
          <w:sz w:val="22"/>
          <w:szCs w:val="22"/>
        </w:rPr>
        <w:t>)</w:t>
      </w:r>
      <w:bookmarkStart w:id="0" w:name="_GoBack"/>
      <w:bookmarkEnd w:id="0"/>
    </w:p>
    <w:p w14:paraId="27975938" w14:textId="77777777" w:rsidR="006E37BF" w:rsidRDefault="006E37BF" w:rsidP="006E37BF">
      <w:pPr>
        <w:spacing w:line="231" w:lineRule="atLeast"/>
        <w:ind w:left="720"/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567342DF" w14:textId="1DA394FC" w:rsidR="00E421BB" w:rsidRPr="00E421BB" w:rsidRDefault="00E421BB" w:rsidP="00E421BB">
      <w:pPr>
        <w:numPr>
          <w:ilvl w:val="0"/>
          <w:numId w:val="1"/>
        </w:numPr>
        <w:spacing w:line="231" w:lineRule="atLeast"/>
        <w:rPr>
          <w:rFonts w:ascii="Calibri" w:eastAsia="Times New Roman" w:hAnsi="Calibri" w:cs="Calibri"/>
          <w:color w:val="000000"/>
          <w:sz w:val="22"/>
          <w:szCs w:val="22"/>
        </w:rPr>
      </w:pPr>
      <w:r w:rsidRPr="00E421BB">
        <w:rPr>
          <w:rFonts w:ascii="Calibri" w:eastAsia="Times New Roman" w:hAnsi="Calibri" w:cs="Calibri"/>
          <w:color w:val="000000"/>
          <w:sz w:val="22"/>
          <w:szCs w:val="22"/>
        </w:rPr>
        <w:t>CBP </w:t>
      </w:r>
    </w:p>
    <w:p w14:paraId="1ED944D9" w14:textId="77777777" w:rsidR="00E421BB" w:rsidRPr="00E421BB" w:rsidRDefault="00E421BB" w:rsidP="00E421BB">
      <w:pPr>
        <w:numPr>
          <w:ilvl w:val="1"/>
          <w:numId w:val="2"/>
        </w:numPr>
        <w:spacing w:line="231" w:lineRule="atLeast"/>
        <w:rPr>
          <w:rFonts w:ascii="Calibri" w:eastAsia="Times New Roman" w:hAnsi="Calibri" w:cs="Calibri"/>
          <w:color w:val="000000"/>
          <w:sz w:val="22"/>
          <w:szCs w:val="22"/>
        </w:rPr>
      </w:pPr>
      <w:r w:rsidRPr="00E421BB">
        <w:rPr>
          <w:rFonts w:ascii="Calibri" w:eastAsia="Times New Roman" w:hAnsi="Calibri" w:cs="Calibri"/>
          <w:color w:val="000000"/>
          <w:sz w:val="22"/>
          <w:szCs w:val="22"/>
        </w:rPr>
        <w:t>ARO updates</w:t>
      </w:r>
    </w:p>
    <w:p w14:paraId="08B23B0F" w14:textId="77777777" w:rsidR="00E421BB" w:rsidRDefault="00E421BB" w:rsidP="00E421BB">
      <w:pPr>
        <w:numPr>
          <w:ilvl w:val="1"/>
          <w:numId w:val="2"/>
        </w:numPr>
        <w:spacing w:line="231" w:lineRule="atLeast"/>
        <w:rPr>
          <w:rFonts w:ascii="Calibri" w:eastAsia="Times New Roman" w:hAnsi="Calibri" w:cs="Calibri"/>
          <w:color w:val="000000"/>
          <w:sz w:val="22"/>
          <w:szCs w:val="22"/>
        </w:rPr>
      </w:pPr>
      <w:r w:rsidRPr="00E421BB">
        <w:rPr>
          <w:rFonts w:ascii="Calibri" w:eastAsia="Times New Roman" w:hAnsi="Calibri" w:cs="Calibri"/>
          <w:color w:val="000000"/>
          <w:sz w:val="22"/>
          <w:szCs w:val="22"/>
        </w:rPr>
        <w:t>TN/L  processing along border(s): </w:t>
      </w:r>
      <w:hyperlink r:id="rId10" w:history="1">
        <w:r w:rsidRPr="00E421BB">
          <w:rPr>
            <w:rFonts w:ascii="Calibri" w:eastAsia="Times New Roman" w:hAnsi="Calibri" w:cs="Calibri"/>
            <w:color w:val="0000FF"/>
            <w:sz w:val="22"/>
            <w:szCs w:val="22"/>
            <w:u w:val="single"/>
          </w:rPr>
          <w:t>https://help</w:t>
        </w:r>
        <w:r w:rsidRPr="00E421BB">
          <w:rPr>
            <w:rFonts w:ascii="Calibri" w:eastAsia="Times New Roman" w:hAnsi="Calibri" w:cs="Calibri"/>
            <w:color w:val="0000FF"/>
            <w:sz w:val="22"/>
            <w:szCs w:val="22"/>
            <w:u w:val="single"/>
          </w:rPr>
          <w:t>.</w:t>
        </w:r>
        <w:r w:rsidRPr="00E421BB">
          <w:rPr>
            <w:rFonts w:ascii="Calibri" w:eastAsia="Times New Roman" w:hAnsi="Calibri" w:cs="Calibri"/>
            <w:color w:val="0000FF"/>
            <w:sz w:val="22"/>
            <w:szCs w:val="22"/>
            <w:u w:val="single"/>
          </w:rPr>
          <w:t>cbp.gov/s/article/Article-1694?language=en_US</w:t>
        </w:r>
      </w:hyperlink>
    </w:p>
    <w:p w14:paraId="71F81607" w14:textId="7838C6D6" w:rsidR="00E421BB" w:rsidRPr="00A7119F" w:rsidRDefault="00E421BB" w:rsidP="00E421BB">
      <w:pPr>
        <w:numPr>
          <w:ilvl w:val="1"/>
          <w:numId w:val="2"/>
        </w:numPr>
        <w:spacing w:line="231" w:lineRule="atLeast"/>
        <w:rPr>
          <w:rFonts w:ascii="Calibri" w:eastAsia="Times New Roman" w:hAnsi="Calibri" w:cs="Calibri"/>
          <w:color w:val="000000"/>
          <w:sz w:val="22"/>
          <w:szCs w:val="22"/>
        </w:rPr>
      </w:pPr>
      <w:r w:rsidRPr="00E421BB">
        <w:rPr>
          <w:rFonts w:ascii="Calibri" w:hAnsi="Calibri" w:cs="Calibri"/>
          <w:color w:val="000000"/>
          <w:sz w:val="22"/>
          <w:szCs w:val="22"/>
        </w:rPr>
        <w:t>Sunset of L-1/H-1B/H-2B/J-1 Visa Ban</w:t>
      </w:r>
    </w:p>
    <w:p w14:paraId="0E74EF4B" w14:textId="77777777" w:rsidR="00E421BB" w:rsidRPr="00E421BB" w:rsidRDefault="00E421BB" w:rsidP="00E421BB">
      <w:pPr>
        <w:spacing w:line="231" w:lineRule="atLeast"/>
        <w:ind w:left="1440"/>
        <w:rPr>
          <w:rFonts w:ascii="Calibri" w:eastAsia="Times New Roman" w:hAnsi="Calibri" w:cs="Calibri"/>
          <w:color w:val="000000"/>
          <w:sz w:val="22"/>
          <w:szCs w:val="22"/>
        </w:rPr>
      </w:pPr>
      <w:r w:rsidRPr="00E421BB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370CD615" w14:textId="77777777" w:rsidR="00E421BB" w:rsidRPr="00E421BB" w:rsidRDefault="00E421BB" w:rsidP="00E421BB">
      <w:pPr>
        <w:numPr>
          <w:ilvl w:val="0"/>
          <w:numId w:val="3"/>
        </w:numPr>
        <w:spacing w:line="231" w:lineRule="atLeast"/>
        <w:rPr>
          <w:rFonts w:ascii="Calibri" w:eastAsia="Times New Roman" w:hAnsi="Calibri" w:cs="Calibri"/>
          <w:color w:val="000000"/>
          <w:sz w:val="22"/>
          <w:szCs w:val="22"/>
        </w:rPr>
      </w:pPr>
      <w:r w:rsidRPr="00E421BB">
        <w:rPr>
          <w:rFonts w:ascii="Calibri" w:eastAsia="Times New Roman" w:hAnsi="Calibri" w:cs="Calibri"/>
          <w:color w:val="000000"/>
          <w:sz w:val="22"/>
          <w:szCs w:val="22"/>
        </w:rPr>
        <w:t>DOS</w:t>
      </w:r>
    </w:p>
    <w:p w14:paraId="027DA233" w14:textId="77777777" w:rsidR="00E421BB" w:rsidRPr="00E421BB" w:rsidRDefault="00E421BB" w:rsidP="00E421BB">
      <w:pPr>
        <w:numPr>
          <w:ilvl w:val="1"/>
          <w:numId w:val="3"/>
        </w:numPr>
        <w:spacing w:line="231" w:lineRule="atLeast"/>
        <w:rPr>
          <w:rFonts w:ascii="Calibri" w:eastAsia="Times New Roman" w:hAnsi="Calibri" w:cs="Calibri"/>
          <w:color w:val="000000"/>
          <w:sz w:val="22"/>
          <w:szCs w:val="22"/>
        </w:rPr>
      </w:pPr>
      <w:r w:rsidRPr="00E421BB">
        <w:rPr>
          <w:rFonts w:ascii="Calibri" w:eastAsia="Times New Roman" w:hAnsi="Calibri" w:cs="Calibri"/>
          <w:color w:val="000000"/>
          <w:sz w:val="22"/>
          <w:szCs w:val="22"/>
        </w:rPr>
        <w:t>National Interest Exception (also current conflation with standards and emergency requests at consulates) </w:t>
      </w:r>
      <w:hyperlink r:id="rId11" w:history="1">
        <w:r w:rsidRPr="00E421BB">
          <w:rPr>
            <w:rFonts w:ascii="Calibri" w:eastAsia="Times New Roman" w:hAnsi="Calibri" w:cs="Calibri"/>
            <w:color w:val="0000FF"/>
            <w:sz w:val="22"/>
            <w:szCs w:val="22"/>
            <w:u w:val="single"/>
          </w:rPr>
          <w:t>https://www.aila.org/advo-media/issues/all/covid-19/resources-national-interest-exceptions</w:t>
        </w:r>
      </w:hyperlink>
      <w:r w:rsidRPr="00E421BB">
        <w:rPr>
          <w:rFonts w:ascii="Calibri" w:eastAsia="Times New Roman" w:hAnsi="Calibri" w:cs="Calibri"/>
          <w:color w:val="000000"/>
          <w:sz w:val="22"/>
          <w:szCs w:val="22"/>
        </w:rPr>
        <w:t>; </w:t>
      </w:r>
      <w:hyperlink r:id="rId12" w:history="1">
        <w:r w:rsidRPr="00E421BB">
          <w:rPr>
            <w:rFonts w:ascii="Calibri" w:eastAsia="Times New Roman" w:hAnsi="Calibri" w:cs="Calibri"/>
            <w:color w:val="0000FF"/>
            <w:sz w:val="22"/>
            <w:szCs w:val="22"/>
            <w:u w:val="single"/>
          </w:rPr>
          <w:t>https://www.aila.org/advo-media/aila-practice-pointers-and-alerts/niv-appointments-nie-waivers-schengen-uk-ireland</w:t>
        </w:r>
      </w:hyperlink>
    </w:p>
    <w:p w14:paraId="28C42558" w14:textId="77777777" w:rsidR="00E421BB" w:rsidRPr="00E421BB" w:rsidRDefault="00E421BB" w:rsidP="00E421BB">
      <w:pPr>
        <w:numPr>
          <w:ilvl w:val="1"/>
          <w:numId w:val="3"/>
        </w:numPr>
        <w:spacing w:line="231" w:lineRule="atLeast"/>
        <w:rPr>
          <w:rFonts w:ascii="Calibri" w:eastAsia="Times New Roman" w:hAnsi="Calibri" w:cs="Calibri"/>
          <w:color w:val="000000"/>
          <w:sz w:val="22"/>
          <w:szCs w:val="22"/>
        </w:rPr>
      </w:pPr>
      <w:r w:rsidRPr="00E421BB">
        <w:rPr>
          <w:rFonts w:ascii="Calibri" w:eastAsia="Times New Roman" w:hAnsi="Calibri" w:cs="Calibri"/>
          <w:color w:val="000000"/>
          <w:sz w:val="22"/>
          <w:szCs w:val="22"/>
        </w:rPr>
        <w:t>Updates on Consular re-openings and prioritization of IV/NIVs: </w:t>
      </w:r>
      <w:hyperlink r:id="rId13" w:history="1">
        <w:r w:rsidRPr="00E421BB">
          <w:rPr>
            <w:rFonts w:ascii="Calibri" w:eastAsia="Times New Roman" w:hAnsi="Calibri" w:cs="Calibri"/>
            <w:color w:val="0000FF"/>
            <w:sz w:val="22"/>
            <w:szCs w:val="22"/>
            <w:u w:val="single"/>
          </w:rPr>
          <w:t>https://travel.state.gov/content/travel/en/News/visas-news/visa-services-operating-status-update.html</w:t>
        </w:r>
      </w:hyperlink>
    </w:p>
    <w:p w14:paraId="07D957E6" w14:textId="77777777" w:rsidR="00E421BB" w:rsidRPr="00E421BB" w:rsidRDefault="00E421BB" w:rsidP="00E421BB">
      <w:pPr>
        <w:numPr>
          <w:ilvl w:val="1"/>
          <w:numId w:val="3"/>
        </w:numPr>
        <w:spacing w:line="231" w:lineRule="atLeast"/>
        <w:rPr>
          <w:rFonts w:ascii="Calibri" w:eastAsia="Times New Roman" w:hAnsi="Calibri" w:cs="Calibri"/>
          <w:color w:val="000000"/>
          <w:sz w:val="22"/>
          <w:szCs w:val="22"/>
        </w:rPr>
      </w:pPr>
      <w:r w:rsidRPr="00E421BB">
        <w:rPr>
          <w:rFonts w:ascii="Calibri" w:eastAsia="Times New Roman" w:hAnsi="Calibri" w:cs="Calibri"/>
          <w:color w:val="000000"/>
          <w:sz w:val="22"/>
          <w:szCs w:val="22"/>
        </w:rPr>
        <w:t>Visa Bulletin and Final Action dates</w:t>
      </w:r>
    </w:p>
    <w:p w14:paraId="380DBC24" w14:textId="77777777" w:rsidR="00E421BB" w:rsidRPr="00E421BB" w:rsidRDefault="00E421BB" w:rsidP="00E421BB">
      <w:pPr>
        <w:numPr>
          <w:ilvl w:val="1"/>
          <w:numId w:val="3"/>
        </w:numPr>
        <w:spacing w:line="231" w:lineRule="atLeast"/>
        <w:rPr>
          <w:rFonts w:ascii="Calibri" w:eastAsia="Times New Roman" w:hAnsi="Calibri" w:cs="Calibri"/>
          <w:color w:val="000000"/>
          <w:sz w:val="22"/>
          <w:szCs w:val="22"/>
        </w:rPr>
      </w:pPr>
      <w:r w:rsidRPr="00E421BB">
        <w:rPr>
          <w:rFonts w:ascii="Calibri" w:eastAsia="Times New Roman" w:hAnsi="Calibri" w:cs="Calibri"/>
          <w:color w:val="000000"/>
          <w:sz w:val="22"/>
          <w:szCs w:val="22"/>
        </w:rPr>
        <w:t>Current Trends</w:t>
      </w:r>
    </w:p>
    <w:p w14:paraId="1AFDCF43" w14:textId="77777777" w:rsidR="006E37BF" w:rsidRDefault="006E37BF" w:rsidP="006E37BF">
      <w:pPr>
        <w:spacing w:line="231" w:lineRule="atLeast"/>
        <w:ind w:left="720"/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01F783A7" w14:textId="1CDB0FE7" w:rsidR="00E421BB" w:rsidRPr="00E421BB" w:rsidRDefault="00E421BB" w:rsidP="00E421BB">
      <w:pPr>
        <w:numPr>
          <w:ilvl w:val="0"/>
          <w:numId w:val="3"/>
        </w:numPr>
        <w:spacing w:line="231" w:lineRule="atLeast"/>
        <w:rPr>
          <w:rFonts w:ascii="Calibri" w:eastAsia="Times New Roman" w:hAnsi="Calibri" w:cs="Calibri"/>
          <w:color w:val="000000"/>
          <w:sz w:val="22"/>
          <w:szCs w:val="22"/>
        </w:rPr>
      </w:pPr>
      <w:r w:rsidRPr="00E421BB">
        <w:rPr>
          <w:rFonts w:ascii="Calibri" w:eastAsia="Times New Roman" w:hAnsi="Calibri" w:cs="Calibri"/>
          <w:color w:val="000000"/>
          <w:sz w:val="22"/>
          <w:szCs w:val="22"/>
        </w:rPr>
        <w:t>USCIS</w:t>
      </w:r>
    </w:p>
    <w:p w14:paraId="0F825797" w14:textId="77777777" w:rsidR="00E421BB" w:rsidRPr="00E421BB" w:rsidRDefault="00E421BB" w:rsidP="00E421BB">
      <w:pPr>
        <w:numPr>
          <w:ilvl w:val="1"/>
          <w:numId w:val="4"/>
        </w:numPr>
        <w:spacing w:line="231" w:lineRule="atLeast"/>
        <w:rPr>
          <w:rFonts w:ascii="Calibri" w:eastAsia="Times New Roman" w:hAnsi="Calibri" w:cs="Calibri"/>
          <w:color w:val="000000"/>
          <w:sz w:val="22"/>
          <w:szCs w:val="22"/>
        </w:rPr>
      </w:pPr>
      <w:r w:rsidRPr="00E421BB">
        <w:rPr>
          <w:rFonts w:ascii="Calibri" w:eastAsia="Times New Roman" w:hAnsi="Calibri" w:cs="Calibri"/>
          <w:color w:val="000000"/>
          <w:sz w:val="22"/>
          <w:szCs w:val="22"/>
        </w:rPr>
        <w:t>Backlogs in processing: </w:t>
      </w:r>
      <w:hyperlink r:id="rId14" w:history="1">
        <w:r w:rsidRPr="00E421BB">
          <w:rPr>
            <w:rFonts w:ascii="Calibri" w:eastAsia="Times New Roman" w:hAnsi="Calibri" w:cs="Calibri"/>
            <w:color w:val="0000FF"/>
            <w:sz w:val="22"/>
            <w:szCs w:val="22"/>
            <w:u w:val="single"/>
          </w:rPr>
          <w:t>https://www.aila.org/advo-media/press-releases/2021/lawsuit-l2-h4-processing-delays</w:t>
        </w:r>
      </w:hyperlink>
    </w:p>
    <w:p w14:paraId="7E28DC3F" w14:textId="4D105B43" w:rsidR="00E421BB" w:rsidRPr="00E421BB" w:rsidRDefault="00E421BB" w:rsidP="00E421BB">
      <w:pPr>
        <w:numPr>
          <w:ilvl w:val="1"/>
          <w:numId w:val="4"/>
        </w:numPr>
        <w:spacing w:line="231" w:lineRule="atLeast"/>
        <w:rPr>
          <w:rFonts w:ascii="Calibri" w:eastAsia="Times New Roman" w:hAnsi="Calibri" w:cs="Calibri"/>
          <w:color w:val="000000"/>
          <w:sz w:val="22"/>
          <w:szCs w:val="22"/>
        </w:rPr>
      </w:pPr>
      <w:r w:rsidRPr="00E421BB">
        <w:rPr>
          <w:rFonts w:ascii="Calibri" w:eastAsia="Times New Roman" w:hAnsi="Calibri" w:cs="Calibri"/>
          <w:color w:val="000000"/>
          <w:sz w:val="22"/>
          <w:szCs w:val="22"/>
        </w:rPr>
        <w:t>H1B lottery—</w:t>
      </w:r>
      <w:proofErr w:type="gramStart"/>
      <w:r w:rsidRPr="00E421BB">
        <w:rPr>
          <w:rFonts w:ascii="Calibri" w:eastAsia="Times New Roman" w:hAnsi="Calibri" w:cs="Calibri"/>
          <w:color w:val="000000"/>
          <w:sz w:val="22"/>
          <w:szCs w:val="22"/>
        </w:rPr>
        <w:t>post mortem</w:t>
      </w:r>
      <w:proofErr w:type="gramEnd"/>
      <w:r w:rsidRPr="00E421BB">
        <w:rPr>
          <w:rFonts w:ascii="Calibri" w:eastAsia="Times New Roman" w:hAnsi="Calibri" w:cs="Calibri"/>
          <w:color w:val="000000"/>
          <w:sz w:val="22"/>
          <w:szCs w:val="22"/>
        </w:rPr>
        <w:t xml:space="preserve"> of FY2022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</w:p>
    <w:p w14:paraId="08513D87" w14:textId="1C50BF5F" w:rsidR="00E421BB" w:rsidRPr="00E421BB" w:rsidRDefault="00E421BB" w:rsidP="00E421BB">
      <w:pPr>
        <w:spacing w:line="231" w:lineRule="atLeast"/>
        <w:ind w:left="2160" w:hanging="2160"/>
        <w:rPr>
          <w:rFonts w:ascii="Calibri" w:eastAsia="Times New Roman" w:hAnsi="Calibri" w:cs="Calibri"/>
          <w:color w:val="000000"/>
          <w:sz w:val="22"/>
          <w:szCs w:val="22"/>
        </w:rPr>
      </w:pPr>
      <w:r w:rsidRPr="00E421BB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                              </w:t>
      </w:r>
      <w:r w:rsidRPr="00E421BB">
        <w:rPr>
          <w:rFonts w:ascii="Calibri" w:eastAsia="Times New Roman" w:hAnsi="Calibri" w:cs="Calibri"/>
          <w:color w:val="000000"/>
          <w:sz w:val="22"/>
          <w:szCs w:val="22"/>
        </w:rPr>
        <w:t>i.</w:t>
      </w:r>
      <w:r w:rsidRPr="00E421BB">
        <w:rPr>
          <w:rFonts w:ascii="Times New Roman" w:eastAsia="Times New Roman" w:hAnsi="Times New Roman" w:cs="Times New Roman"/>
          <w:color w:val="000000"/>
          <w:sz w:val="14"/>
          <w:szCs w:val="14"/>
        </w:rPr>
        <w:t>    </w:t>
      </w:r>
      <w:r w:rsidR="006E37BF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    </w:t>
      </w:r>
      <w:r w:rsidRPr="00E421BB"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  <w:hyperlink r:id="rId15" w:history="1">
        <w:r w:rsidRPr="00E421BB">
          <w:rPr>
            <w:rFonts w:ascii="Calibri" w:eastAsia="Times New Roman" w:hAnsi="Calibri" w:cs="Calibri"/>
            <w:color w:val="0000FF"/>
            <w:sz w:val="22"/>
            <w:szCs w:val="22"/>
            <w:u w:val="single"/>
          </w:rPr>
          <w:t>https://www.aila.org/advo-media/aila-practice-pointers-and-alerts/practice-pointer-follow-the-selection-notice</w:t>
        </w:r>
      </w:hyperlink>
    </w:p>
    <w:p w14:paraId="2FB2230F" w14:textId="77777777" w:rsidR="00E421BB" w:rsidRPr="00E421BB" w:rsidRDefault="00E421BB" w:rsidP="00E421BB">
      <w:pPr>
        <w:numPr>
          <w:ilvl w:val="1"/>
          <w:numId w:val="5"/>
        </w:numPr>
        <w:spacing w:line="231" w:lineRule="atLeast"/>
        <w:rPr>
          <w:rFonts w:ascii="Calibri" w:eastAsia="Times New Roman" w:hAnsi="Calibri" w:cs="Calibri"/>
          <w:color w:val="000000"/>
          <w:sz w:val="22"/>
          <w:szCs w:val="22"/>
        </w:rPr>
      </w:pPr>
      <w:r w:rsidRPr="00E421BB">
        <w:rPr>
          <w:rFonts w:ascii="Calibri" w:eastAsia="Times New Roman" w:hAnsi="Calibri" w:cs="Calibri"/>
          <w:color w:val="000000"/>
          <w:sz w:val="22"/>
          <w:szCs w:val="22"/>
        </w:rPr>
        <w:t>Policy memo updates, hot tips, current trends</w:t>
      </w:r>
    </w:p>
    <w:p w14:paraId="43CED000" w14:textId="10CACBFD" w:rsidR="006E37BF" w:rsidRDefault="006E37BF" w:rsidP="006E37BF">
      <w:pPr>
        <w:pStyle w:val="ListParagraph"/>
        <w:numPr>
          <w:ilvl w:val="2"/>
          <w:numId w:val="5"/>
        </w:numPr>
        <w:spacing w:after="160" w:line="231" w:lineRule="atLeast"/>
        <w:rPr>
          <w:rFonts w:ascii="Calibri" w:hAnsi="Calibri" w:cs="Calibri"/>
          <w:color w:val="0000FF"/>
          <w:sz w:val="22"/>
          <w:szCs w:val="22"/>
          <w:u w:val="single"/>
        </w:rPr>
      </w:pPr>
      <w:hyperlink r:id="rId16" w:history="1">
        <w:r w:rsidRPr="00657B4B">
          <w:rPr>
            <w:rStyle w:val="Hyperlink"/>
            <w:rFonts w:ascii="Calibri" w:hAnsi="Calibri" w:cs="Calibri"/>
            <w:sz w:val="22"/>
            <w:szCs w:val="22"/>
          </w:rPr>
          <w:t>https://www.aila.</w:t>
        </w:r>
        <w:r w:rsidRPr="00657B4B">
          <w:rPr>
            <w:rStyle w:val="Hyperlink"/>
            <w:rFonts w:ascii="Calibri" w:hAnsi="Calibri" w:cs="Calibri"/>
            <w:sz w:val="22"/>
            <w:szCs w:val="22"/>
          </w:rPr>
          <w:t>o</w:t>
        </w:r>
        <w:r w:rsidRPr="00657B4B">
          <w:rPr>
            <w:rStyle w:val="Hyperlink"/>
            <w:rFonts w:ascii="Calibri" w:hAnsi="Calibri" w:cs="Calibri"/>
            <w:sz w:val="22"/>
            <w:szCs w:val="22"/>
          </w:rPr>
          <w:t>rg/advo-media/aila-practice-pointers-and-alerts/i485-rejections-derivative-applicants</w:t>
        </w:r>
      </w:hyperlink>
    </w:p>
    <w:p w14:paraId="4F006AB2" w14:textId="4598E13F" w:rsidR="00F62F7D" w:rsidRPr="00F62F7D" w:rsidRDefault="00F62F7D" w:rsidP="00F62F7D">
      <w:pPr>
        <w:pStyle w:val="ListParagraph"/>
        <w:numPr>
          <w:ilvl w:val="1"/>
          <w:numId w:val="5"/>
        </w:numPr>
        <w:spacing w:after="160" w:line="231" w:lineRule="atLeast"/>
        <w:rPr>
          <w:rFonts w:ascii="Calibri" w:hAnsi="Calibri" w:cs="Calibri"/>
          <w:sz w:val="22"/>
          <w:szCs w:val="22"/>
          <w:u w:val="single"/>
        </w:rPr>
      </w:pPr>
      <w:r w:rsidRPr="00F62F7D">
        <w:rPr>
          <w:rFonts w:ascii="Calibri" w:hAnsi="Calibri" w:cs="Calibri"/>
          <w:sz w:val="22"/>
          <w:szCs w:val="22"/>
        </w:rPr>
        <w:t xml:space="preserve">I-9 Compliances during </w:t>
      </w:r>
      <w:proofErr w:type="spellStart"/>
      <w:r w:rsidRPr="00F62F7D">
        <w:rPr>
          <w:rFonts w:ascii="Calibri" w:hAnsi="Calibri" w:cs="Calibri"/>
          <w:sz w:val="22"/>
          <w:szCs w:val="22"/>
        </w:rPr>
        <w:t>Covid</w:t>
      </w:r>
      <w:proofErr w:type="spellEnd"/>
    </w:p>
    <w:p w14:paraId="1506173D" w14:textId="21CA5F24" w:rsidR="00F62F7D" w:rsidRPr="00F62F7D" w:rsidRDefault="00F62F7D" w:rsidP="00F62F7D">
      <w:pPr>
        <w:pStyle w:val="ListParagraph"/>
        <w:numPr>
          <w:ilvl w:val="2"/>
          <w:numId w:val="5"/>
        </w:numPr>
        <w:spacing w:after="160" w:line="231" w:lineRule="atLeast"/>
        <w:rPr>
          <w:rFonts w:ascii="Calibri" w:hAnsi="Calibri" w:cs="Calibri"/>
          <w:color w:val="0000FF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>Remote Verification – still okay?</w:t>
      </w:r>
    </w:p>
    <w:p w14:paraId="6BB0AB36" w14:textId="64DA5C5A" w:rsidR="00F62F7D" w:rsidRPr="006E37BF" w:rsidRDefault="00F62F7D" w:rsidP="00F62F7D">
      <w:pPr>
        <w:pStyle w:val="ListParagraph"/>
        <w:numPr>
          <w:ilvl w:val="2"/>
          <w:numId w:val="5"/>
        </w:numPr>
        <w:spacing w:after="160" w:line="231" w:lineRule="atLeast"/>
        <w:rPr>
          <w:rFonts w:ascii="Calibri" w:hAnsi="Calibri" w:cs="Calibri"/>
          <w:color w:val="0000FF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>Return to Work – requirements for in-person review of documents</w:t>
      </w:r>
    </w:p>
    <w:sectPr w:rsidR="00F62F7D" w:rsidRPr="006E37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B6B6A"/>
    <w:multiLevelType w:val="multilevel"/>
    <w:tmpl w:val="A78E8F8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ind w:left="2520" w:hanging="720"/>
      </w:pPr>
      <w:rPr>
        <w:rFonts w:asciiTheme="minorHAnsi" w:eastAsiaTheme="minorHAnsi" w:hAnsiTheme="minorHAnsi" w:cstheme="minorBidi" w:hint="default"/>
        <w:color w:val="auto"/>
        <w:sz w:val="24"/>
        <w:u w:val="no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A97474"/>
    <w:multiLevelType w:val="multilevel"/>
    <w:tmpl w:val="B5423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992554"/>
    <w:multiLevelType w:val="hybridMultilevel"/>
    <w:tmpl w:val="9752C480"/>
    <w:lvl w:ilvl="0" w:tplc="A4C0C78A">
      <w:start w:val="9"/>
      <w:numFmt w:val="lowerLetter"/>
      <w:lvlText w:val="%1."/>
      <w:lvlJc w:val="left"/>
      <w:pPr>
        <w:ind w:left="2180" w:hanging="360"/>
      </w:pPr>
      <w:rPr>
        <w:rFonts w:hint="default"/>
        <w:color w:val="00000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900" w:hanging="360"/>
      </w:pPr>
    </w:lvl>
    <w:lvl w:ilvl="2" w:tplc="0409001B" w:tentative="1">
      <w:start w:val="1"/>
      <w:numFmt w:val="lowerRoman"/>
      <w:lvlText w:val="%3."/>
      <w:lvlJc w:val="right"/>
      <w:pPr>
        <w:ind w:left="3620" w:hanging="180"/>
      </w:pPr>
    </w:lvl>
    <w:lvl w:ilvl="3" w:tplc="0409000F" w:tentative="1">
      <w:start w:val="1"/>
      <w:numFmt w:val="decimal"/>
      <w:lvlText w:val="%4."/>
      <w:lvlJc w:val="left"/>
      <w:pPr>
        <w:ind w:left="4340" w:hanging="360"/>
      </w:pPr>
    </w:lvl>
    <w:lvl w:ilvl="4" w:tplc="04090019" w:tentative="1">
      <w:start w:val="1"/>
      <w:numFmt w:val="lowerLetter"/>
      <w:lvlText w:val="%5."/>
      <w:lvlJc w:val="left"/>
      <w:pPr>
        <w:ind w:left="5060" w:hanging="360"/>
      </w:pPr>
    </w:lvl>
    <w:lvl w:ilvl="5" w:tplc="0409001B" w:tentative="1">
      <w:start w:val="1"/>
      <w:numFmt w:val="lowerRoman"/>
      <w:lvlText w:val="%6."/>
      <w:lvlJc w:val="right"/>
      <w:pPr>
        <w:ind w:left="5780" w:hanging="180"/>
      </w:pPr>
    </w:lvl>
    <w:lvl w:ilvl="6" w:tplc="0409000F" w:tentative="1">
      <w:start w:val="1"/>
      <w:numFmt w:val="decimal"/>
      <w:lvlText w:val="%7."/>
      <w:lvlJc w:val="left"/>
      <w:pPr>
        <w:ind w:left="6500" w:hanging="360"/>
      </w:pPr>
    </w:lvl>
    <w:lvl w:ilvl="7" w:tplc="04090019" w:tentative="1">
      <w:start w:val="1"/>
      <w:numFmt w:val="lowerLetter"/>
      <w:lvlText w:val="%8."/>
      <w:lvlJc w:val="left"/>
      <w:pPr>
        <w:ind w:left="7220" w:hanging="360"/>
      </w:pPr>
    </w:lvl>
    <w:lvl w:ilvl="8" w:tplc="0409001B" w:tentative="1">
      <w:start w:val="1"/>
      <w:numFmt w:val="lowerRoman"/>
      <w:lvlText w:val="%9."/>
      <w:lvlJc w:val="right"/>
      <w:pPr>
        <w:ind w:left="7940" w:hanging="180"/>
      </w:pPr>
    </w:lvl>
  </w:abstractNum>
  <w:abstractNum w:abstractNumId="3" w15:restartNumberingAfterBreak="0">
    <w:nsid w:val="34B41656"/>
    <w:multiLevelType w:val="multilevel"/>
    <w:tmpl w:val="4EC67B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1">
      <w:startOverride w:val="1"/>
    </w:lvlOverride>
  </w:num>
  <w:num w:numId="3">
    <w:abstractNumId w:val="3"/>
  </w:num>
  <w:num w:numId="4">
    <w:abstractNumId w:val="3"/>
    <w:lvlOverride w:ilvl="1">
      <w:startOverride w:val="1"/>
    </w:lvlOverride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1BB"/>
    <w:rsid w:val="00680EAA"/>
    <w:rsid w:val="006E37BF"/>
    <w:rsid w:val="00A7119F"/>
    <w:rsid w:val="00CA0C53"/>
    <w:rsid w:val="00E421BB"/>
    <w:rsid w:val="00F62F7D"/>
    <w:rsid w:val="00FA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0E06C"/>
  <w15:chartTrackingRefBased/>
  <w15:docId w15:val="{E4262F4E-6132-0540-A00F-33CA61B2C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21B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E421BB"/>
  </w:style>
  <w:style w:type="character" w:styleId="Hyperlink">
    <w:name w:val="Hyperlink"/>
    <w:basedOn w:val="DefaultParagraphFont"/>
    <w:uiPriority w:val="99"/>
    <w:unhideWhenUsed/>
    <w:rsid w:val="00E421B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37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14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4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3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lag.dol.gov/processingtimes" TargetMode="External"/><Relationship Id="rId13" Type="http://schemas.openxmlformats.org/officeDocument/2006/relationships/hyperlink" Target="https://travel.state.gov/content/travel/en/News/visas-news/visa-services-operating-status-update.htm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aila.org/advo-media/aila-practice-pointers-and-alerts/niv-appointments-nie-waivers-schengen-uk-ireland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aila.org/advo-media/aila-practice-pointers-and-alerts/i485-rejections-derivative-applicants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aila.org/advo-media/issues/all/covid-19/resources-national-interest-exceptions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aila.org/advo-media/aila-practice-pointers-and-alerts/practice-pointer-follow-the-selection-notice" TargetMode="External"/><Relationship Id="rId10" Type="http://schemas.openxmlformats.org/officeDocument/2006/relationships/hyperlink" Target="https://help.cbp.gov/s/article/Article-1694?language=en_US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aila.org/infonet/dol-flag-updates" TargetMode="External"/><Relationship Id="rId14" Type="http://schemas.openxmlformats.org/officeDocument/2006/relationships/hyperlink" Target="https://www.aila.org/advo-media/press-releases/2021/lawsuit-l2-h4-processing-delay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325BB860B21F43A8DE506745CDD0AF" ma:contentTypeVersion="10" ma:contentTypeDescription="Create a new document." ma:contentTypeScope="" ma:versionID="a11964b9b8d04406641d10346feb6dd4">
  <xsd:schema xmlns:xsd="http://www.w3.org/2001/XMLSchema" xmlns:xs="http://www.w3.org/2001/XMLSchema" xmlns:p="http://schemas.microsoft.com/office/2006/metadata/properties" xmlns:ns3="1ac7bc22-e766-402d-a254-116dba750a19" targetNamespace="http://schemas.microsoft.com/office/2006/metadata/properties" ma:root="true" ma:fieldsID="f8e0797ff5758916ab5947f096d95f80" ns3:_="">
    <xsd:import namespace="1ac7bc22-e766-402d-a254-116dba750a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c7bc22-e766-402d-a254-116dba750a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C0D2A6-2BE2-4DBA-BEA3-F58E8B60B9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c7bc22-e766-402d-a254-116dba750a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E39C8C-B9D8-4AC6-B451-3F10C215C2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75FC05-EBD5-43E7-AE88-2576DD32B2AD}">
  <ds:schemaRefs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1ac7bc22-e766-402d-a254-116dba750a19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 T Ballerini</dc:creator>
  <cp:keywords/>
  <dc:description/>
  <cp:lastModifiedBy>Murphy, Maggie (Austin)</cp:lastModifiedBy>
  <cp:revision>3</cp:revision>
  <dcterms:created xsi:type="dcterms:W3CDTF">2021-04-21T18:12:00Z</dcterms:created>
  <dcterms:modified xsi:type="dcterms:W3CDTF">2021-04-21T18:42:00Z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0x0101006F325BB860B21F43A8DE506745CDD0AF</vt:lpwstr>
  </property>
</Properties>
</file>