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CC89" w14:textId="37BE7F48" w:rsidR="00E84276" w:rsidRDefault="00F4596B" w:rsidP="004208A8">
      <w:pPr>
        <w:widowControl w:val="0"/>
        <w:autoSpaceDE w:val="0"/>
        <w:autoSpaceDN w:val="0"/>
        <w:adjustRightInd w:val="0"/>
        <w:jc w:val="center"/>
        <w:rPr>
          <w:rFonts w:ascii="Times New Roman" w:hAnsi="Times New Roman" w:cs="Times New Roman"/>
          <w:b/>
          <w:bCs/>
          <w:sz w:val="34"/>
          <w:szCs w:val="34"/>
        </w:rPr>
      </w:pPr>
      <w:bookmarkStart w:id="0" w:name="_GoBack"/>
      <w:bookmarkEnd w:id="0"/>
      <w:r>
        <w:rPr>
          <w:rFonts w:ascii="Times New Roman" w:hAnsi="Times New Roman" w:cs="Times New Roman"/>
          <w:b/>
          <w:bCs/>
          <w:sz w:val="34"/>
          <w:szCs w:val="34"/>
        </w:rPr>
        <w:t xml:space="preserve"> </w:t>
      </w:r>
      <w:r w:rsidR="00ED0E13" w:rsidRPr="00BD4215">
        <w:rPr>
          <w:rFonts w:ascii="Times New Roman" w:hAnsi="Times New Roman" w:cs="Times New Roman"/>
          <w:b/>
          <w:bCs/>
          <w:sz w:val="34"/>
          <w:szCs w:val="34"/>
        </w:rPr>
        <w:t>S</w:t>
      </w:r>
      <w:r w:rsidR="00ED0E13" w:rsidRPr="00BD4215">
        <w:rPr>
          <w:rFonts w:ascii="Times New Roman" w:hAnsi="Times New Roman" w:cs="Times New Roman"/>
          <w:b/>
          <w:bCs/>
        </w:rPr>
        <w:t xml:space="preserve">HAPING THE </w:t>
      </w:r>
      <w:r w:rsidR="00ED0E13" w:rsidRPr="00BD4215">
        <w:rPr>
          <w:rFonts w:ascii="Times New Roman" w:hAnsi="Times New Roman" w:cs="Times New Roman"/>
          <w:b/>
          <w:bCs/>
          <w:sz w:val="34"/>
          <w:szCs w:val="34"/>
        </w:rPr>
        <w:t>F</w:t>
      </w:r>
      <w:r w:rsidR="00ED0E13" w:rsidRPr="00BD4215">
        <w:rPr>
          <w:rFonts w:ascii="Times New Roman" w:hAnsi="Times New Roman" w:cs="Times New Roman"/>
          <w:b/>
          <w:bCs/>
        </w:rPr>
        <w:t xml:space="preserve">UTURE OF </w:t>
      </w:r>
      <w:r w:rsidR="00ED0E13" w:rsidRPr="00BD4215">
        <w:rPr>
          <w:rFonts w:ascii="Times New Roman" w:hAnsi="Times New Roman" w:cs="Times New Roman"/>
          <w:b/>
          <w:bCs/>
          <w:sz w:val="34"/>
          <w:szCs w:val="34"/>
        </w:rPr>
        <w:t>PERM — BALCA</w:t>
      </w:r>
      <w:r w:rsidR="004208A8">
        <w:rPr>
          <w:rFonts w:ascii="Times New Roman" w:hAnsi="Times New Roman" w:cs="Times New Roman"/>
          <w:b/>
          <w:bCs/>
          <w:sz w:val="34"/>
          <w:szCs w:val="34"/>
        </w:rPr>
        <w:t xml:space="preserve"> </w:t>
      </w:r>
      <w:r w:rsidR="00ED0E13" w:rsidRPr="00BD4215">
        <w:rPr>
          <w:rFonts w:ascii="Times New Roman" w:hAnsi="Times New Roman" w:cs="Times New Roman"/>
          <w:b/>
          <w:bCs/>
          <w:sz w:val="34"/>
          <w:szCs w:val="34"/>
        </w:rPr>
        <w:t>H</w:t>
      </w:r>
      <w:r w:rsidR="00ED0E13" w:rsidRPr="00BD4215">
        <w:rPr>
          <w:rFonts w:ascii="Times New Roman" w:hAnsi="Times New Roman" w:cs="Times New Roman"/>
          <w:b/>
          <w:bCs/>
        </w:rPr>
        <w:t>IGHLIGHTS</w:t>
      </w:r>
      <w:r w:rsidR="00ED0E13" w:rsidRPr="00BD4215">
        <w:rPr>
          <w:rFonts w:ascii="Times New Roman" w:hAnsi="Times New Roman" w:cs="Times New Roman"/>
          <w:b/>
          <w:bCs/>
          <w:sz w:val="34"/>
          <w:szCs w:val="34"/>
        </w:rPr>
        <w:t xml:space="preserve">, </w:t>
      </w:r>
    </w:p>
    <w:p w14:paraId="6F13870C" w14:textId="2E9D6848" w:rsidR="00ED0E13" w:rsidRPr="00BD4215" w:rsidRDefault="00A023BB" w:rsidP="004208A8">
      <w:pPr>
        <w:widowControl w:val="0"/>
        <w:autoSpaceDE w:val="0"/>
        <w:autoSpaceDN w:val="0"/>
        <w:adjustRightInd w:val="0"/>
        <w:jc w:val="center"/>
        <w:rPr>
          <w:rFonts w:ascii="Times New Roman" w:hAnsi="Times New Roman" w:cs="Times New Roman"/>
          <w:b/>
          <w:bCs/>
          <w:sz w:val="34"/>
          <w:szCs w:val="34"/>
        </w:rPr>
      </w:pPr>
      <w:r>
        <w:rPr>
          <w:rFonts w:ascii="Times New Roman" w:hAnsi="Times New Roman" w:cs="Times New Roman"/>
          <w:b/>
          <w:bCs/>
          <w:sz w:val="34"/>
          <w:szCs w:val="34"/>
        </w:rPr>
        <w:t>3</w:t>
      </w:r>
      <w:r w:rsidR="001829BA">
        <w:rPr>
          <w:rFonts w:ascii="Times New Roman" w:hAnsi="Times New Roman" w:cs="Times New Roman"/>
          <w:b/>
          <w:bCs/>
          <w:sz w:val="34"/>
          <w:szCs w:val="34"/>
        </w:rPr>
        <w:t>Q 2017</w:t>
      </w:r>
    </w:p>
    <w:p w14:paraId="5B30CB1F" w14:textId="09A5EA1B" w:rsidR="00D35D33" w:rsidRPr="00187E4F" w:rsidRDefault="00ED0E13" w:rsidP="004208A8">
      <w:pPr>
        <w:jc w:val="center"/>
        <w:rPr>
          <w:rFonts w:ascii="Times New Roman" w:hAnsi="Times New Roman" w:cs="Times New Roman"/>
          <w:b/>
          <w:bCs/>
          <w:sz w:val="20"/>
          <w:szCs w:val="20"/>
        </w:rPr>
      </w:pPr>
      <w:r w:rsidRPr="00BD4215">
        <w:rPr>
          <w:rFonts w:ascii="Times New Roman" w:hAnsi="Times New Roman" w:cs="Times New Roman"/>
          <w:b/>
          <w:bCs/>
          <w:sz w:val="19"/>
          <w:szCs w:val="19"/>
        </w:rPr>
        <w:t xml:space="preserve">BY </w:t>
      </w:r>
      <w:r w:rsidRPr="00BC0DFF">
        <w:rPr>
          <w:rFonts w:ascii="Times New Roman" w:hAnsi="Times New Roman" w:cs="Times New Roman"/>
          <w:b/>
          <w:bCs/>
          <w:sz w:val="28"/>
          <w:szCs w:val="28"/>
        </w:rPr>
        <w:t>R</w:t>
      </w:r>
      <w:r w:rsidRPr="00BD4215">
        <w:rPr>
          <w:rFonts w:ascii="Times New Roman" w:hAnsi="Times New Roman" w:cs="Times New Roman"/>
          <w:b/>
          <w:bCs/>
          <w:sz w:val="19"/>
          <w:szCs w:val="19"/>
        </w:rPr>
        <w:t xml:space="preserve">ON </w:t>
      </w:r>
      <w:r w:rsidRPr="00BC0DFF">
        <w:rPr>
          <w:rFonts w:ascii="Times New Roman" w:hAnsi="Times New Roman" w:cs="Times New Roman"/>
          <w:b/>
          <w:bCs/>
          <w:sz w:val="28"/>
          <w:szCs w:val="28"/>
        </w:rPr>
        <w:t>W</w:t>
      </w:r>
      <w:r w:rsidRPr="00BD4215">
        <w:rPr>
          <w:rFonts w:ascii="Times New Roman" w:hAnsi="Times New Roman" w:cs="Times New Roman"/>
          <w:b/>
          <w:bCs/>
          <w:sz w:val="19"/>
          <w:szCs w:val="19"/>
        </w:rPr>
        <w:t>ADA</w:t>
      </w:r>
      <w:r w:rsidR="00696F1F">
        <w:rPr>
          <w:rFonts w:ascii="Times New Roman" w:hAnsi="Times New Roman" w:cs="Times New Roman"/>
          <w:b/>
          <w:bCs/>
          <w:sz w:val="19"/>
          <w:szCs w:val="19"/>
        </w:rPr>
        <w:t xml:space="preserve"> </w:t>
      </w:r>
      <w:r w:rsidR="00696F1F" w:rsidRPr="00A71B8E">
        <w:rPr>
          <w:rFonts w:ascii="Times New Roman" w:hAnsi="Times New Roman" w:cs="Times New Roman"/>
          <w:b/>
          <w:bCs/>
          <w:sz w:val="19"/>
          <w:szCs w:val="19"/>
        </w:rPr>
        <w:t>AND</w:t>
      </w:r>
      <w:r w:rsidR="00187E4F" w:rsidRPr="00A71B8E">
        <w:rPr>
          <w:rFonts w:ascii="Times New Roman" w:hAnsi="Times New Roman" w:cs="Times New Roman"/>
          <w:b/>
          <w:bCs/>
          <w:sz w:val="19"/>
          <w:szCs w:val="19"/>
        </w:rPr>
        <w:t xml:space="preserve"> </w:t>
      </w:r>
      <w:r w:rsidR="001829BA">
        <w:rPr>
          <w:rFonts w:ascii="Times New Roman" w:hAnsi="Times New Roman" w:cs="Times New Roman"/>
          <w:b/>
          <w:bCs/>
          <w:caps/>
          <w:sz w:val="28"/>
          <w:szCs w:val="28"/>
        </w:rPr>
        <w:t>J</w:t>
      </w:r>
      <w:r w:rsidR="001829BA">
        <w:rPr>
          <w:rFonts w:ascii="Times New Roman" w:hAnsi="Times New Roman" w:cs="Times New Roman"/>
          <w:b/>
          <w:bCs/>
          <w:caps/>
          <w:sz w:val="19"/>
          <w:szCs w:val="19"/>
        </w:rPr>
        <w:t xml:space="preserve">ohn </w:t>
      </w:r>
      <w:r w:rsidR="00A27827" w:rsidRPr="00A71B8E">
        <w:rPr>
          <w:rFonts w:ascii="Times New Roman" w:hAnsi="Times New Roman" w:cs="Times New Roman"/>
          <w:b/>
          <w:bCs/>
          <w:caps/>
          <w:sz w:val="28"/>
          <w:szCs w:val="28"/>
        </w:rPr>
        <w:t>C</w:t>
      </w:r>
      <w:r w:rsidR="001829BA">
        <w:rPr>
          <w:rFonts w:ascii="Times New Roman" w:hAnsi="Times New Roman" w:cs="Times New Roman"/>
          <w:b/>
          <w:bCs/>
          <w:caps/>
          <w:sz w:val="19"/>
          <w:szCs w:val="19"/>
        </w:rPr>
        <w:t>.</w:t>
      </w:r>
      <w:r w:rsidR="00A27827" w:rsidRPr="00A71B8E">
        <w:rPr>
          <w:rFonts w:ascii="Times New Roman" w:hAnsi="Times New Roman" w:cs="Times New Roman"/>
          <w:b/>
          <w:bCs/>
          <w:caps/>
          <w:sz w:val="19"/>
          <w:szCs w:val="19"/>
        </w:rPr>
        <w:t xml:space="preserve"> </w:t>
      </w:r>
      <w:r w:rsidR="001829BA">
        <w:rPr>
          <w:rFonts w:ascii="Times New Roman" w:hAnsi="Times New Roman" w:cs="Times New Roman"/>
          <w:b/>
          <w:bCs/>
          <w:caps/>
          <w:sz w:val="28"/>
          <w:szCs w:val="28"/>
        </w:rPr>
        <w:t>L</w:t>
      </w:r>
      <w:r w:rsidR="001829BA">
        <w:rPr>
          <w:rFonts w:ascii="Times New Roman" w:hAnsi="Times New Roman" w:cs="Times New Roman"/>
          <w:b/>
          <w:bCs/>
          <w:caps/>
          <w:sz w:val="19"/>
          <w:szCs w:val="19"/>
        </w:rPr>
        <w:t>emacks</w:t>
      </w:r>
      <w:r w:rsidR="003C21E2">
        <w:rPr>
          <w:rFonts w:ascii="Times New Roman" w:hAnsi="Times New Roman" w:cs="Times New Roman"/>
          <w:b/>
          <w:bCs/>
          <w:caps/>
          <w:sz w:val="19"/>
          <w:szCs w:val="19"/>
        </w:rPr>
        <w:t>, II</w:t>
      </w:r>
    </w:p>
    <w:p w14:paraId="79ED5686" w14:textId="77777777" w:rsidR="00ED0E13" w:rsidRPr="00BD4215" w:rsidRDefault="00ED0E13" w:rsidP="004208A8">
      <w:pPr>
        <w:jc w:val="both"/>
        <w:rPr>
          <w:rFonts w:ascii="Times New Roman" w:hAnsi="Times New Roman" w:cs="Times New Roman"/>
          <w:b/>
          <w:bCs/>
          <w:sz w:val="19"/>
          <w:szCs w:val="19"/>
        </w:rPr>
      </w:pPr>
    </w:p>
    <w:p w14:paraId="211D52F6" w14:textId="77777777" w:rsidR="00ED0E13" w:rsidRPr="00BD4215" w:rsidRDefault="00ED0E13" w:rsidP="004208A8">
      <w:pPr>
        <w:jc w:val="both"/>
        <w:rPr>
          <w:rFonts w:ascii="Times New Roman" w:hAnsi="Times New Roman" w:cs="Times New Roman"/>
          <w:b/>
          <w:bCs/>
          <w:sz w:val="19"/>
          <w:szCs w:val="19"/>
        </w:rPr>
      </w:pPr>
    </w:p>
    <w:p w14:paraId="7D0459A4" w14:textId="77777777" w:rsidR="00352312" w:rsidRPr="00BD4215" w:rsidRDefault="00352312" w:rsidP="004208A8">
      <w:pPr>
        <w:widowControl w:val="0"/>
        <w:autoSpaceDE w:val="0"/>
        <w:autoSpaceDN w:val="0"/>
        <w:adjustRightInd w:val="0"/>
        <w:jc w:val="both"/>
        <w:rPr>
          <w:rFonts w:ascii="Times New Roman" w:hAnsi="Times New Roman" w:cs="Times New Roman"/>
          <w:i/>
          <w:sz w:val="22"/>
          <w:szCs w:val="22"/>
        </w:rPr>
      </w:pPr>
      <w:r w:rsidRPr="00BD4215">
        <w:rPr>
          <w:rFonts w:ascii="Times New Roman" w:hAnsi="Times New Roman" w:cs="Times New Roman"/>
          <w:i/>
          <w:sz w:val="22"/>
          <w:szCs w:val="22"/>
        </w:rPr>
        <w:t>This series of articles summariz</w:t>
      </w:r>
      <w:r w:rsidR="003A7916">
        <w:rPr>
          <w:rFonts w:ascii="Times New Roman" w:hAnsi="Times New Roman" w:cs="Times New Roman"/>
          <w:i/>
          <w:sz w:val="22"/>
          <w:szCs w:val="22"/>
        </w:rPr>
        <w:t>es</w:t>
      </w:r>
      <w:r w:rsidRPr="00BD4215">
        <w:rPr>
          <w:rFonts w:ascii="Times New Roman" w:hAnsi="Times New Roman" w:cs="Times New Roman"/>
          <w:i/>
          <w:sz w:val="22"/>
          <w:szCs w:val="22"/>
        </w:rPr>
        <w:t xml:space="preserve"> notable decisions of the Board of Alien Labor Certification Appeals (BALCA) issued during the preceding quarter. We identify the decisions according to subject area, include a brief summary and citations to related decisions, and offer commentary where appropriate.</w:t>
      </w:r>
      <w:r w:rsidR="00952860" w:rsidRPr="00BD4215">
        <w:rPr>
          <w:rFonts w:ascii="Times New Roman" w:hAnsi="Times New Roman" w:cs="Times New Roman"/>
          <w:i/>
          <w:sz w:val="22"/>
          <w:szCs w:val="22"/>
        </w:rPr>
        <w:t xml:space="preserve"> </w:t>
      </w:r>
      <w:r w:rsidRPr="00BD4215">
        <w:rPr>
          <w:rFonts w:ascii="Times New Roman" w:hAnsi="Times New Roman" w:cs="Times New Roman"/>
          <w:i/>
          <w:sz w:val="22"/>
          <w:szCs w:val="22"/>
        </w:rPr>
        <w:t xml:space="preserve">The decisions reported in these articles will also be reported in context in regularly scheduled updates to </w:t>
      </w:r>
      <w:r w:rsidR="00E84276">
        <w:rPr>
          <w:rFonts w:ascii="Times New Roman" w:hAnsi="Times New Roman" w:cs="Times New Roman"/>
          <w:i/>
          <w:sz w:val="22"/>
          <w:szCs w:val="22"/>
        </w:rPr>
        <w:t xml:space="preserve">Chapter 44, Labor Certification, in </w:t>
      </w:r>
      <w:r w:rsidRPr="00BD4215">
        <w:rPr>
          <w:rFonts w:ascii="Times New Roman" w:hAnsi="Times New Roman" w:cs="Times New Roman"/>
          <w:i/>
          <w:sz w:val="22"/>
          <w:szCs w:val="22"/>
        </w:rPr>
        <w:t>the treatise</w:t>
      </w:r>
      <w:r w:rsidR="006578AC" w:rsidRPr="00BD4215">
        <w:rPr>
          <w:rFonts w:ascii="Times New Roman" w:hAnsi="Times New Roman" w:cs="Times New Roman"/>
          <w:i/>
          <w:sz w:val="22"/>
          <w:szCs w:val="22"/>
        </w:rPr>
        <w:t xml:space="preserve"> </w:t>
      </w:r>
      <w:r w:rsidR="006578AC" w:rsidRPr="00CE3A59">
        <w:rPr>
          <w:rFonts w:ascii="Times New Roman" w:hAnsi="Times New Roman" w:cs="Times New Roman"/>
          <w:sz w:val="22"/>
          <w:szCs w:val="22"/>
        </w:rPr>
        <w:t>Immigration Law and Procedure</w:t>
      </w:r>
      <w:r w:rsidR="006578AC" w:rsidRPr="00BD4215">
        <w:rPr>
          <w:rFonts w:ascii="Times New Roman" w:hAnsi="Times New Roman" w:cs="Times New Roman"/>
          <w:i/>
          <w:sz w:val="22"/>
          <w:szCs w:val="22"/>
        </w:rPr>
        <w:t>.</w:t>
      </w:r>
      <w:r w:rsidR="00CE3A59">
        <w:rPr>
          <w:rStyle w:val="FootnoteReference"/>
          <w:rFonts w:ascii="Times New Roman" w:hAnsi="Times New Roman" w:cs="Times New Roman"/>
          <w:i/>
          <w:sz w:val="22"/>
          <w:szCs w:val="22"/>
        </w:rPr>
        <w:footnoteReference w:id="1"/>
      </w:r>
    </w:p>
    <w:p w14:paraId="2AEFE436" w14:textId="77777777" w:rsidR="00352312" w:rsidRPr="00BD4215" w:rsidRDefault="00352312" w:rsidP="004208A8">
      <w:pPr>
        <w:widowControl w:val="0"/>
        <w:autoSpaceDE w:val="0"/>
        <w:autoSpaceDN w:val="0"/>
        <w:adjustRightInd w:val="0"/>
        <w:jc w:val="both"/>
        <w:rPr>
          <w:rFonts w:ascii="Times New Roman" w:hAnsi="Times New Roman" w:cs="Times New Roman"/>
          <w:sz w:val="22"/>
          <w:szCs w:val="22"/>
        </w:rPr>
      </w:pPr>
    </w:p>
    <w:p w14:paraId="3AB5FAA1" w14:textId="4D1CF049" w:rsidR="001125A7" w:rsidRDefault="00221B3A" w:rsidP="004208A8">
      <w:pPr>
        <w:widowControl w:val="0"/>
        <w:autoSpaceDE w:val="0"/>
        <w:autoSpaceDN w:val="0"/>
        <w:adjustRightInd w:val="0"/>
        <w:jc w:val="both"/>
        <w:rPr>
          <w:rFonts w:ascii="Times New Roman" w:hAnsi="Times New Roman" w:cs="Times New Roman"/>
        </w:rPr>
      </w:pPr>
      <w:r>
        <w:rPr>
          <w:rFonts w:ascii="Times New Roman" w:hAnsi="Times New Roman" w:cs="Times New Roman"/>
        </w:rPr>
        <w:t>BALCA issued only a handful of</w:t>
      </w:r>
      <w:r w:rsidR="00410D7A">
        <w:rPr>
          <w:rFonts w:ascii="Times New Roman" w:hAnsi="Times New Roman" w:cs="Times New Roman"/>
        </w:rPr>
        <w:t xml:space="preserve"> notable decisions during the third quarter of 2017.  This is in marked contrast to its torrid pace over the past four years, which </w:t>
      </w:r>
      <w:r w:rsidR="009704D1">
        <w:rPr>
          <w:rFonts w:ascii="Times New Roman" w:hAnsi="Times New Roman" w:cs="Times New Roman"/>
        </w:rPr>
        <w:t xml:space="preserve">was </w:t>
      </w:r>
      <w:r w:rsidR="00410D7A">
        <w:rPr>
          <w:rFonts w:ascii="Times New Roman" w:hAnsi="Times New Roman" w:cs="Times New Roman"/>
        </w:rPr>
        <w:t xml:space="preserve">still </w:t>
      </w:r>
      <w:r w:rsidR="009704D1">
        <w:rPr>
          <w:rFonts w:ascii="Times New Roman" w:hAnsi="Times New Roman" w:cs="Times New Roman"/>
        </w:rPr>
        <w:t>not sufficient to prevent a steadily increasing backlog of</w:t>
      </w:r>
      <w:r>
        <w:rPr>
          <w:rFonts w:ascii="Times New Roman" w:hAnsi="Times New Roman" w:cs="Times New Roman"/>
        </w:rPr>
        <w:t xml:space="preserve"> appeals </w:t>
      </w:r>
      <w:r w:rsidR="00410D7A">
        <w:rPr>
          <w:rFonts w:ascii="Times New Roman" w:hAnsi="Times New Roman" w:cs="Times New Roman"/>
        </w:rPr>
        <w:t xml:space="preserve">that now stands at </w:t>
      </w:r>
      <w:r w:rsidR="0096793E">
        <w:rPr>
          <w:rFonts w:ascii="Times New Roman" w:hAnsi="Times New Roman" w:cs="Times New Roman"/>
        </w:rPr>
        <w:t xml:space="preserve">more than </w:t>
      </w:r>
      <w:r w:rsidR="00410D7A">
        <w:rPr>
          <w:rFonts w:ascii="Times New Roman" w:hAnsi="Times New Roman" w:cs="Times New Roman"/>
        </w:rPr>
        <w:t xml:space="preserve">four years.  </w:t>
      </w:r>
      <w:r w:rsidR="00FA04B3">
        <w:rPr>
          <w:rFonts w:ascii="Times New Roman" w:hAnsi="Times New Roman" w:cs="Times New Roman"/>
        </w:rPr>
        <w:t xml:space="preserve">Therefore, </w:t>
      </w:r>
      <w:r>
        <w:rPr>
          <w:rFonts w:ascii="Times New Roman" w:hAnsi="Times New Roman" w:cs="Times New Roman"/>
        </w:rPr>
        <w:t>we lead off with a brief over</w:t>
      </w:r>
      <w:r w:rsidR="00FA04B3">
        <w:rPr>
          <w:rFonts w:ascii="Times New Roman" w:hAnsi="Times New Roman" w:cs="Times New Roman"/>
        </w:rPr>
        <w:t xml:space="preserve">view of the </w:t>
      </w:r>
      <w:r>
        <w:rPr>
          <w:rFonts w:ascii="Times New Roman" w:hAnsi="Times New Roman" w:cs="Times New Roman"/>
        </w:rPr>
        <w:t>most significant</w:t>
      </w:r>
      <w:r w:rsidR="00FA04B3">
        <w:rPr>
          <w:rFonts w:ascii="Times New Roman" w:hAnsi="Times New Roman" w:cs="Times New Roman"/>
        </w:rPr>
        <w:t xml:space="preserve"> tr</w:t>
      </w:r>
      <w:r>
        <w:rPr>
          <w:rFonts w:ascii="Times New Roman" w:hAnsi="Times New Roman" w:cs="Times New Roman"/>
        </w:rPr>
        <w:t>end at BALCA over the past year</w:t>
      </w:r>
      <w:r w:rsidR="0096793E">
        <w:rPr>
          <w:rFonts w:ascii="Times New Roman" w:hAnsi="Times New Roman" w:cs="Times New Roman"/>
        </w:rPr>
        <w:t xml:space="preserve"> in which BALCA has articulated</w:t>
      </w:r>
      <w:r w:rsidR="008404CD">
        <w:rPr>
          <w:rFonts w:ascii="Times New Roman" w:hAnsi="Times New Roman" w:cs="Times New Roman"/>
        </w:rPr>
        <w:t xml:space="preserve"> new standards for how employers </w:t>
      </w:r>
      <w:r w:rsidR="00FA04B3">
        <w:rPr>
          <w:rFonts w:ascii="Times New Roman" w:hAnsi="Times New Roman" w:cs="Times New Roman"/>
        </w:rPr>
        <w:t xml:space="preserve">conduct their applicant </w:t>
      </w:r>
      <w:r w:rsidR="0096793E">
        <w:rPr>
          <w:rFonts w:ascii="Times New Roman" w:hAnsi="Times New Roman" w:cs="Times New Roman"/>
        </w:rPr>
        <w:t>review process.  Summaries of the handful of noteworthy decisions from 3Q2017 follow:</w:t>
      </w:r>
    </w:p>
    <w:p w14:paraId="79847E50" w14:textId="77777777" w:rsidR="001357C1" w:rsidRPr="00E84276" w:rsidRDefault="001357C1" w:rsidP="004208A8">
      <w:pPr>
        <w:widowControl w:val="0"/>
        <w:autoSpaceDE w:val="0"/>
        <w:autoSpaceDN w:val="0"/>
        <w:adjustRightInd w:val="0"/>
        <w:jc w:val="both"/>
        <w:rPr>
          <w:rFonts w:ascii="Times New Roman" w:hAnsi="Times New Roman" w:cs="Times New Roman"/>
        </w:rPr>
      </w:pPr>
    </w:p>
    <w:p w14:paraId="524900B4" w14:textId="0CAA77F1" w:rsidR="0096793E" w:rsidRDefault="0096793E" w:rsidP="00FE20C2">
      <w:pPr>
        <w:pStyle w:val="ListParagraph"/>
        <w:widowControl w:val="0"/>
        <w:numPr>
          <w:ilvl w:val="0"/>
          <w:numId w:val="25"/>
        </w:numPr>
        <w:autoSpaceDE w:val="0"/>
        <w:autoSpaceDN w:val="0"/>
        <w:adjustRightInd w:val="0"/>
        <w:jc w:val="both"/>
        <w:rPr>
          <w:rFonts w:ascii="Times New Roman" w:hAnsi="Times New Roman" w:cs="Times New Roman"/>
        </w:rPr>
      </w:pPr>
      <w:r>
        <w:rPr>
          <w:rFonts w:ascii="Times New Roman" w:hAnsi="Times New Roman" w:cs="Times New Roman"/>
        </w:rPr>
        <w:t xml:space="preserve">2017 BALCA Standards for </w:t>
      </w:r>
      <w:r w:rsidR="00180788">
        <w:rPr>
          <w:rFonts w:ascii="Times New Roman" w:hAnsi="Times New Roman" w:cs="Times New Roman"/>
        </w:rPr>
        <w:t xml:space="preserve">an Employer’s PERM </w:t>
      </w:r>
      <w:r w:rsidR="00151142">
        <w:rPr>
          <w:rFonts w:ascii="Times New Roman" w:hAnsi="Times New Roman" w:cs="Times New Roman"/>
        </w:rPr>
        <w:t>Applicant Review Process</w:t>
      </w:r>
    </w:p>
    <w:p w14:paraId="5A9C2A8D" w14:textId="77777777" w:rsidR="009E560C" w:rsidRDefault="009E560C" w:rsidP="009E560C">
      <w:pPr>
        <w:pStyle w:val="ListParagraph"/>
        <w:widowControl w:val="0"/>
        <w:autoSpaceDE w:val="0"/>
        <w:autoSpaceDN w:val="0"/>
        <w:adjustRightInd w:val="0"/>
        <w:jc w:val="both"/>
        <w:rPr>
          <w:rFonts w:ascii="Times New Roman" w:hAnsi="Times New Roman" w:cs="Times New Roman"/>
        </w:rPr>
      </w:pPr>
    </w:p>
    <w:p w14:paraId="336A0AF4" w14:textId="6B90091A" w:rsidR="00FE20C2" w:rsidRDefault="00FE20C2" w:rsidP="00FE20C2">
      <w:pPr>
        <w:pStyle w:val="ListParagraph"/>
        <w:widowControl w:val="0"/>
        <w:numPr>
          <w:ilvl w:val="0"/>
          <w:numId w:val="25"/>
        </w:numPr>
        <w:autoSpaceDE w:val="0"/>
        <w:autoSpaceDN w:val="0"/>
        <w:adjustRightInd w:val="0"/>
        <w:jc w:val="both"/>
        <w:rPr>
          <w:rFonts w:ascii="Times New Roman" w:hAnsi="Times New Roman" w:cs="Times New Roman"/>
        </w:rPr>
      </w:pPr>
      <w:r>
        <w:rPr>
          <w:rFonts w:ascii="Times New Roman" w:hAnsi="Times New Roman" w:cs="Times New Roman"/>
        </w:rPr>
        <w:t>Noteworthy BALCA Decisions Issued During 3Q2017:</w:t>
      </w:r>
    </w:p>
    <w:p w14:paraId="5611CC11" w14:textId="453D7696" w:rsidR="004541CA" w:rsidRDefault="00FE20C2" w:rsidP="00FE20C2">
      <w:pPr>
        <w:pStyle w:val="ListParagraph"/>
        <w:widowControl w:val="0"/>
        <w:numPr>
          <w:ilvl w:val="1"/>
          <w:numId w:val="4"/>
        </w:numPr>
        <w:autoSpaceDE w:val="0"/>
        <w:autoSpaceDN w:val="0"/>
        <w:adjustRightInd w:val="0"/>
        <w:jc w:val="both"/>
        <w:rPr>
          <w:rFonts w:ascii="Times New Roman" w:hAnsi="Times New Roman" w:cs="Times New Roman"/>
        </w:rPr>
      </w:pPr>
      <w:r>
        <w:rPr>
          <w:rFonts w:ascii="Times New Roman" w:hAnsi="Times New Roman" w:cs="Times New Roman"/>
        </w:rPr>
        <w:t>T</w:t>
      </w:r>
      <w:r w:rsidR="001A00F4">
        <w:rPr>
          <w:rFonts w:ascii="Times New Roman" w:hAnsi="Times New Roman" w:cs="Times New Roman"/>
        </w:rPr>
        <w:t xml:space="preserve">he CO Waives Alternate </w:t>
      </w:r>
      <w:r>
        <w:rPr>
          <w:rFonts w:ascii="Times New Roman" w:hAnsi="Times New Roman" w:cs="Times New Roman"/>
        </w:rPr>
        <w:t>Grounds for Denial That Are Not Specifically Cited</w:t>
      </w:r>
    </w:p>
    <w:p w14:paraId="6B31754C" w14:textId="207D3524" w:rsidR="00FE20C2" w:rsidRDefault="00FE20C2" w:rsidP="00FE20C2">
      <w:pPr>
        <w:pStyle w:val="ListParagraph"/>
        <w:widowControl w:val="0"/>
        <w:numPr>
          <w:ilvl w:val="1"/>
          <w:numId w:val="4"/>
        </w:numPr>
        <w:autoSpaceDE w:val="0"/>
        <w:autoSpaceDN w:val="0"/>
        <w:adjustRightInd w:val="0"/>
        <w:jc w:val="both"/>
        <w:rPr>
          <w:rFonts w:ascii="Times New Roman" w:hAnsi="Times New Roman" w:cs="Times New Roman"/>
        </w:rPr>
      </w:pPr>
      <w:r>
        <w:rPr>
          <w:rFonts w:ascii="Times New Roman" w:hAnsi="Times New Roman" w:cs="Times New Roman"/>
        </w:rPr>
        <w:t xml:space="preserve">Denial of Request for Extension to Respond to an Audit Request is </w:t>
      </w:r>
      <w:r w:rsidR="00151142">
        <w:rPr>
          <w:rFonts w:ascii="Times New Roman" w:hAnsi="Times New Roman" w:cs="Times New Roman"/>
        </w:rPr>
        <w:t xml:space="preserve">Reviewed </w:t>
      </w:r>
      <w:r>
        <w:rPr>
          <w:rFonts w:ascii="Times New Roman" w:hAnsi="Times New Roman" w:cs="Times New Roman"/>
        </w:rPr>
        <w:t>Under Abuse of Discretion Standard</w:t>
      </w:r>
    </w:p>
    <w:p w14:paraId="582EDEDD" w14:textId="34A6CC39" w:rsidR="00FE20C2" w:rsidRDefault="00FE20C2" w:rsidP="00FE20C2">
      <w:pPr>
        <w:pStyle w:val="ListParagraph"/>
        <w:widowControl w:val="0"/>
        <w:numPr>
          <w:ilvl w:val="1"/>
          <w:numId w:val="4"/>
        </w:numPr>
        <w:autoSpaceDE w:val="0"/>
        <w:autoSpaceDN w:val="0"/>
        <w:adjustRightInd w:val="0"/>
        <w:jc w:val="both"/>
        <w:rPr>
          <w:rFonts w:ascii="Times New Roman" w:hAnsi="Times New Roman" w:cs="Times New Roman"/>
        </w:rPr>
      </w:pPr>
      <w:r>
        <w:rPr>
          <w:rFonts w:ascii="Times New Roman" w:hAnsi="Times New Roman" w:cs="Times New Roman"/>
        </w:rPr>
        <w:t>Drafting Problems – Travel and Relocation</w:t>
      </w:r>
    </w:p>
    <w:p w14:paraId="21269429" w14:textId="34DA7A72" w:rsidR="00FA04B3" w:rsidRDefault="00FA04B3" w:rsidP="00FA04B3">
      <w:pPr>
        <w:widowControl w:val="0"/>
        <w:autoSpaceDE w:val="0"/>
        <w:autoSpaceDN w:val="0"/>
        <w:adjustRightInd w:val="0"/>
        <w:jc w:val="both"/>
        <w:rPr>
          <w:rFonts w:ascii="Times New Roman" w:hAnsi="Times New Roman" w:cs="Times New Roman"/>
        </w:rPr>
      </w:pPr>
    </w:p>
    <w:p w14:paraId="3C9824DB" w14:textId="77777777" w:rsidR="00180788" w:rsidRDefault="00180788" w:rsidP="00FA04B3">
      <w:pPr>
        <w:widowControl w:val="0"/>
        <w:autoSpaceDE w:val="0"/>
        <w:autoSpaceDN w:val="0"/>
        <w:adjustRightInd w:val="0"/>
        <w:jc w:val="both"/>
        <w:rPr>
          <w:rFonts w:ascii="Times New Roman" w:hAnsi="Times New Roman" w:cs="Times New Roman"/>
        </w:rPr>
      </w:pPr>
    </w:p>
    <w:p w14:paraId="78148104" w14:textId="086F674C" w:rsidR="00FA04B3" w:rsidRPr="004273D1" w:rsidRDefault="0096793E" w:rsidP="004F607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2017 </w:t>
      </w:r>
      <w:r w:rsidR="009704D1" w:rsidRPr="004273D1">
        <w:rPr>
          <w:rFonts w:ascii="Times New Roman" w:hAnsi="Times New Roman" w:cs="Times New Roman"/>
          <w:b/>
        </w:rPr>
        <w:t xml:space="preserve">BALCA </w:t>
      </w:r>
      <w:r w:rsidR="00FA04B3" w:rsidRPr="004273D1">
        <w:rPr>
          <w:rFonts w:ascii="Times New Roman" w:hAnsi="Times New Roman" w:cs="Times New Roman"/>
          <w:b/>
        </w:rPr>
        <w:t>S</w:t>
      </w:r>
      <w:r w:rsidR="0073390E" w:rsidRPr="004273D1">
        <w:rPr>
          <w:rFonts w:ascii="Times New Roman" w:hAnsi="Times New Roman" w:cs="Times New Roman"/>
          <w:b/>
        </w:rPr>
        <w:t xml:space="preserve">TANDARDS FOR </w:t>
      </w:r>
      <w:r w:rsidR="009704D1" w:rsidRPr="004273D1">
        <w:rPr>
          <w:rFonts w:ascii="Times New Roman" w:hAnsi="Times New Roman" w:cs="Times New Roman"/>
          <w:b/>
        </w:rPr>
        <w:t xml:space="preserve">AN </w:t>
      </w:r>
      <w:r w:rsidR="0073390E" w:rsidRPr="004273D1">
        <w:rPr>
          <w:rFonts w:ascii="Times New Roman" w:hAnsi="Times New Roman" w:cs="Times New Roman"/>
          <w:b/>
        </w:rPr>
        <w:t>EMPLOYER</w:t>
      </w:r>
      <w:r w:rsidR="009704D1" w:rsidRPr="004273D1">
        <w:rPr>
          <w:rFonts w:ascii="Times New Roman" w:hAnsi="Times New Roman" w:cs="Times New Roman"/>
          <w:b/>
        </w:rPr>
        <w:t>’</w:t>
      </w:r>
      <w:r w:rsidR="0073390E" w:rsidRPr="004273D1">
        <w:rPr>
          <w:rFonts w:ascii="Times New Roman" w:hAnsi="Times New Roman" w:cs="Times New Roman"/>
          <w:b/>
        </w:rPr>
        <w:t xml:space="preserve">S </w:t>
      </w:r>
      <w:r w:rsidR="00180788">
        <w:rPr>
          <w:rFonts w:ascii="Times New Roman" w:hAnsi="Times New Roman" w:cs="Times New Roman"/>
          <w:b/>
        </w:rPr>
        <w:t xml:space="preserve">PERM </w:t>
      </w:r>
      <w:r w:rsidR="0073390E" w:rsidRPr="004273D1">
        <w:rPr>
          <w:rFonts w:ascii="Times New Roman" w:hAnsi="Times New Roman" w:cs="Times New Roman"/>
          <w:b/>
        </w:rPr>
        <w:t>APPLICANT REVIEW PROCESS</w:t>
      </w:r>
      <w:r w:rsidR="00221B3A" w:rsidRPr="004273D1">
        <w:rPr>
          <w:rFonts w:ascii="Times New Roman" w:hAnsi="Times New Roman" w:cs="Times New Roman"/>
          <w:b/>
        </w:rPr>
        <w:t xml:space="preserve"> </w:t>
      </w:r>
    </w:p>
    <w:p w14:paraId="12D603F8" w14:textId="3762F638" w:rsidR="0073390E" w:rsidRDefault="0073390E" w:rsidP="00FA04B3">
      <w:pPr>
        <w:widowControl w:val="0"/>
        <w:autoSpaceDE w:val="0"/>
        <w:autoSpaceDN w:val="0"/>
        <w:adjustRightInd w:val="0"/>
        <w:jc w:val="both"/>
        <w:rPr>
          <w:rFonts w:ascii="Times New Roman" w:hAnsi="Times New Roman" w:cs="Times New Roman"/>
        </w:rPr>
      </w:pPr>
    </w:p>
    <w:p w14:paraId="50A762DF" w14:textId="0DF8B418" w:rsidR="00513796" w:rsidRDefault="0073390E"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For the first </w:t>
      </w:r>
      <w:r w:rsidR="00151142">
        <w:rPr>
          <w:rFonts w:ascii="Times New Roman" w:hAnsi="Times New Roman" w:cs="Times New Roman"/>
        </w:rPr>
        <w:t xml:space="preserve">eight </w:t>
      </w:r>
      <w:r>
        <w:rPr>
          <w:rFonts w:ascii="Times New Roman" w:hAnsi="Times New Roman" w:cs="Times New Roman"/>
        </w:rPr>
        <w:t xml:space="preserve">years or so of the PERM program, DOL had tacitly accepted an employer’s disqualification of applicants to a PERM </w:t>
      </w:r>
      <w:r w:rsidR="00221B3A">
        <w:rPr>
          <w:rFonts w:ascii="Times New Roman" w:hAnsi="Times New Roman" w:cs="Times New Roman"/>
        </w:rPr>
        <w:t>job</w:t>
      </w:r>
      <w:r w:rsidR="004D05C1">
        <w:rPr>
          <w:rFonts w:ascii="Times New Roman" w:hAnsi="Times New Roman" w:cs="Times New Roman"/>
        </w:rPr>
        <w:t xml:space="preserve"> opportunity</w:t>
      </w:r>
      <w:r>
        <w:rPr>
          <w:rFonts w:ascii="Times New Roman" w:hAnsi="Times New Roman" w:cs="Times New Roman"/>
        </w:rPr>
        <w:t xml:space="preserve"> if the applicant</w:t>
      </w:r>
      <w:r w:rsidR="00221B3A">
        <w:rPr>
          <w:rFonts w:ascii="Times New Roman" w:hAnsi="Times New Roman" w:cs="Times New Roman"/>
        </w:rPr>
        <w:t>s</w:t>
      </w:r>
      <w:r>
        <w:rPr>
          <w:rFonts w:ascii="Times New Roman" w:hAnsi="Times New Roman" w:cs="Times New Roman"/>
        </w:rPr>
        <w:t xml:space="preserve"> did not meet the employer’s objectively stated job requirements.  The employer is required to state the </w:t>
      </w:r>
      <w:r w:rsidRPr="0073390E">
        <w:rPr>
          <w:rFonts w:ascii="Times New Roman" w:hAnsi="Times New Roman" w:cs="Times New Roman"/>
          <w:u w:val="single"/>
        </w:rPr>
        <w:t>minimum</w:t>
      </w:r>
      <w:r w:rsidR="00221B3A">
        <w:rPr>
          <w:rFonts w:ascii="Times New Roman" w:hAnsi="Times New Roman" w:cs="Times New Roman"/>
        </w:rPr>
        <w:t xml:space="preserve"> job requirements</w:t>
      </w:r>
      <w:r w:rsidR="009704D1">
        <w:rPr>
          <w:rFonts w:ascii="Times New Roman" w:hAnsi="Times New Roman" w:cs="Times New Roman"/>
        </w:rPr>
        <w:t xml:space="preserve"> and to prepare a business necessity justification for each job requirement</w:t>
      </w:r>
      <w:r w:rsidR="00B74492">
        <w:rPr>
          <w:rFonts w:ascii="Times New Roman" w:hAnsi="Times New Roman" w:cs="Times New Roman"/>
        </w:rPr>
        <w:t xml:space="preserve"> that exceed</w:t>
      </w:r>
      <w:r w:rsidR="00631A18">
        <w:rPr>
          <w:rFonts w:ascii="Times New Roman" w:hAnsi="Times New Roman" w:cs="Times New Roman"/>
        </w:rPr>
        <w:t>s</w:t>
      </w:r>
      <w:r w:rsidR="00B74492">
        <w:rPr>
          <w:rFonts w:ascii="Times New Roman" w:hAnsi="Times New Roman" w:cs="Times New Roman"/>
        </w:rPr>
        <w:t xml:space="preserve"> the “normal” requirements for the occupation</w:t>
      </w:r>
      <w:r>
        <w:rPr>
          <w:rFonts w:ascii="Times New Roman" w:hAnsi="Times New Roman" w:cs="Times New Roman"/>
        </w:rPr>
        <w:t xml:space="preserve">.  </w:t>
      </w:r>
      <w:r w:rsidR="00B74492">
        <w:rPr>
          <w:rFonts w:ascii="Times New Roman" w:hAnsi="Times New Roman" w:cs="Times New Roman"/>
        </w:rPr>
        <w:t xml:space="preserve">In the absence of additional clarification from DOL, employers </w:t>
      </w:r>
      <w:r w:rsidR="002B2309">
        <w:rPr>
          <w:rFonts w:ascii="Times New Roman" w:hAnsi="Times New Roman" w:cs="Times New Roman"/>
        </w:rPr>
        <w:t>made the reasonable presumption that i</w:t>
      </w:r>
      <w:r w:rsidRPr="0073390E">
        <w:rPr>
          <w:rFonts w:ascii="Times New Roman" w:hAnsi="Times New Roman" w:cs="Times New Roman"/>
        </w:rPr>
        <w:t>f</w:t>
      </w:r>
      <w:r>
        <w:rPr>
          <w:rFonts w:ascii="Times New Roman" w:hAnsi="Times New Roman" w:cs="Times New Roman"/>
        </w:rPr>
        <w:t xml:space="preserve"> the applicant did not have the required education, or the required years of experience, or any of the skills </w:t>
      </w:r>
      <w:r w:rsidR="00513796">
        <w:rPr>
          <w:rFonts w:ascii="Times New Roman" w:hAnsi="Times New Roman" w:cs="Times New Roman"/>
        </w:rPr>
        <w:t xml:space="preserve">specified by the employer as being </w:t>
      </w:r>
      <w:r>
        <w:rPr>
          <w:rFonts w:ascii="Times New Roman" w:hAnsi="Times New Roman" w:cs="Times New Roman"/>
        </w:rPr>
        <w:t xml:space="preserve">required to do the job, the employer could properly disqualify that applicant; </w:t>
      </w:r>
      <w:r w:rsidR="00513796">
        <w:rPr>
          <w:rFonts w:ascii="Times New Roman" w:hAnsi="Times New Roman" w:cs="Times New Roman"/>
        </w:rPr>
        <w:t xml:space="preserve">the employer would have to </w:t>
      </w:r>
      <w:r w:rsidR="009704D1">
        <w:rPr>
          <w:rFonts w:ascii="Times New Roman" w:hAnsi="Times New Roman" w:cs="Times New Roman"/>
        </w:rPr>
        <w:t xml:space="preserve">also explain why </w:t>
      </w:r>
      <w:r w:rsidR="00631A18">
        <w:rPr>
          <w:rFonts w:ascii="Times New Roman" w:hAnsi="Times New Roman" w:cs="Times New Roman"/>
        </w:rPr>
        <w:t xml:space="preserve">the </w:t>
      </w:r>
      <w:r w:rsidR="009704D1">
        <w:rPr>
          <w:rFonts w:ascii="Times New Roman" w:hAnsi="Times New Roman" w:cs="Times New Roman"/>
        </w:rPr>
        <w:lastRenderedPageBreak/>
        <w:t>specif</w:t>
      </w:r>
      <w:r w:rsidR="00A62C53">
        <w:rPr>
          <w:rFonts w:ascii="Times New Roman" w:hAnsi="Times New Roman" w:cs="Times New Roman"/>
        </w:rPr>
        <w:t>i</w:t>
      </w:r>
      <w:r w:rsidR="009704D1">
        <w:rPr>
          <w:rFonts w:ascii="Times New Roman" w:hAnsi="Times New Roman" w:cs="Times New Roman"/>
        </w:rPr>
        <w:t>c</w:t>
      </w:r>
      <w:r w:rsidR="00221B3A">
        <w:rPr>
          <w:rFonts w:ascii="Times New Roman" w:hAnsi="Times New Roman" w:cs="Times New Roman"/>
        </w:rPr>
        <w:t xml:space="preserve"> the job requirements could not be met during a reasonable period of on</w:t>
      </w:r>
      <w:r w:rsidR="00631A18">
        <w:rPr>
          <w:rFonts w:ascii="Times New Roman" w:hAnsi="Times New Roman" w:cs="Times New Roman"/>
        </w:rPr>
        <w:t>-</w:t>
      </w:r>
      <w:r w:rsidR="00221B3A">
        <w:rPr>
          <w:rFonts w:ascii="Times New Roman" w:hAnsi="Times New Roman" w:cs="Times New Roman"/>
        </w:rPr>
        <w:t>the</w:t>
      </w:r>
      <w:r w:rsidR="00631A18">
        <w:rPr>
          <w:rFonts w:ascii="Times New Roman" w:hAnsi="Times New Roman" w:cs="Times New Roman"/>
        </w:rPr>
        <w:t>-</w:t>
      </w:r>
      <w:r w:rsidR="00221B3A">
        <w:rPr>
          <w:rFonts w:ascii="Times New Roman" w:hAnsi="Times New Roman" w:cs="Times New Roman"/>
        </w:rPr>
        <w:t>job training</w:t>
      </w:r>
      <w:r w:rsidR="00513796">
        <w:rPr>
          <w:rFonts w:ascii="Times New Roman" w:hAnsi="Times New Roman" w:cs="Times New Roman"/>
        </w:rPr>
        <w:t xml:space="preserve">.  Conceptually, this all made sense.  But </w:t>
      </w:r>
      <w:r w:rsidR="0031613C">
        <w:rPr>
          <w:rFonts w:ascii="Times New Roman" w:hAnsi="Times New Roman" w:cs="Times New Roman"/>
        </w:rPr>
        <w:t xml:space="preserve">as with all aspects of the PERM process, </w:t>
      </w:r>
      <w:r w:rsidR="00513796">
        <w:rPr>
          <w:rFonts w:ascii="Times New Roman" w:hAnsi="Times New Roman" w:cs="Times New Roman"/>
        </w:rPr>
        <w:t>the devil is in the details</w:t>
      </w:r>
      <w:r w:rsidR="000F4686">
        <w:rPr>
          <w:rFonts w:ascii="Times New Roman" w:hAnsi="Times New Roman" w:cs="Times New Roman"/>
        </w:rPr>
        <w:t xml:space="preserve">, and what we’ve learned over the past year is that DOL’s view of who should be interviewed and who is qualified for a given position may differ </w:t>
      </w:r>
      <w:r w:rsidR="0096793E">
        <w:rPr>
          <w:rFonts w:ascii="Times New Roman" w:hAnsi="Times New Roman" w:cs="Times New Roman"/>
        </w:rPr>
        <w:t>substanti</w:t>
      </w:r>
      <w:r w:rsidR="00180788">
        <w:rPr>
          <w:rFonts w:ascii="Times New Roman" w:hAnsi="Times New Roman" w:cs="Times New Roman"/>
        </w:rPr>
        <w:t>ally from an</w:t>
      </w:r>
      <w:r w:rsidR="000F4686">
        <w:rPr>
          <w:rFonts w:ascii="Times New Roman" w:hAnsi="Times New Roman" w:cs="Times New Roman"/>
        </w:rPr>
        <w:t xml:space="preserve"> employer’s view</w:t>
      </w:r>
      <w:r w:rsidR="00513796">
        <w:rPr>
          <w:rFonts w:ascii="Times New Roman" w:hAnsi="Times New Roman" w:cs="Times New Roman"/>
        </w:rPr>
        <w:t xml:space="preserve">. </w:t>
      </w:r>
    </w:p>
    <w:p w14:paraId="0DA60240" w14:textId="34B0FFEE" w:rsidR="00A62C53" w:rsidRDefault="00A62C53" w:rsidP="00FA04B3">
      <w:pPr>
        <w:widowControl w:val="0"/>
        <w:autoSpaceDE w:val="0"/>
        <w:autoSpaceDN w:val="0"/>
        <w:adjustRightInd w:val="0"/>
        <w:jc w:val="both"/>
        <w:rPr>
          <w:rFonts w:ascii="Times New Roman" w:hAnsi="Times New Roman" w:cs="Times New Roman"/>
        </w:rPr>
      </w:pPr>
    </w:p>
    <w:p w14:paraId="05572D86" w14:textId="240D4499" w:rsidR="00A62C53" w:rsidRDefault="00A62C53"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The following observations and practice tips have bee</w:t>
      </w:r>
      <w:r w:rsidR="00B7380A">
        <w:rPr>
          <w:rFonts w:ascii="Times New Roman" w:hAnsi="Times New Roman" w:cs="Times New Roman"/>
        </w:rPr>
        <w:t xml:space="preserve">n </w:t>
      </w:r>
      <w:r w:rsidR="0031613C">
        <w:rPr>
          <w:rFonts w:ascii="Times New Roman" w:hAnsi="Times New Roman" w:cs="Times New Roman"/>
        </w:rPr>
        <w:t xml:space="preserve">consolidated </w:t>
      </w:r>
      <w:r>
        <w:rPr>
          <w:rFonts w:ascii="Times New Roman" w:hAnsi="Times New Roman" w:cs="Times New Roman"/>
        </w:rPr>
        <w:t>from previously published articles in this series</w:t>
      </w:r>
      <w:r w:rsidR="00B7380A">
        <w:rPr>
          <w:rFonts w:ascii="Times New Roman" w:hAnsi="Times New Roman" w:cs="Times New Roman"/>
        </w:rPr>
        <w:t xml:space="preserve"> in order to present a more coherent picture of </w:t>
      </w:r>
      <w:r w:rsidR="00085742">
        <w:rPr>
          <w:rFonts w:ascii="Times New Roman" w:hAnsi="Times New Roman" w:cs="Times New Roman"/>
        </w:rPr>
        <w:t xml:space="preserve">the </w:t>
      </w:r>
      <w:r w:rsidR="0096793E">
        <w:rPr>
          <w:rFonts w:ascii="Times New Roman" w:hAnsi="Times New Roman" w:cs="Times New Roman"/>
        </w:rPr>
        <w:t xml:space="preserve">scope and content of the </w:t>
      </w:r>
      <w:r w:rsidR="000F4686">
        <w:rPr>
          <w:rFonts w:ascii="Times New Roman" w:hAnsi="Times New Roman" w:cs="Times New Roman"/>
        </w:rPr>
        <w:t xml:space="preserve">standards </w:t>
      </w:r>
      <w:r w:rsidR="00085742">
        <w:rPr>
          <w:rFonts w:ascii="Times New Roman" w:hAnsi="Times New Roman" w:cs="Times New Roman"/>
        </w:rPr>
        <w:t xml:space="preserve">that BALCA has </w:t>
      </w:r>
      <w:r w:rsidR="00180788">
        <w:rPr>
          <w:rFonts w:ascii="Times New Roman" w:hAnsi="Times New Roman" w:cs="Times New Roman"/>
        </w:rPr>
        <w:t>articulated</w:t>
      </w:r>
      <w:r w:rsidR="00085742">
        <w:rPr>
          <w:rFonts w:ascii="Times New Roman" w:hAnsi="Times New Roman" w:cs="Times New Roman"/>
        </w:rPr>
        <w:t xml:space="preserve"> </w:t>
      </w:r>
      <w:r w:rsidR="000F4686">
        <w:rPr>
          <w:rFonts w:ascii="Times New Roman" w:hAnsi="Times New Roman" w:cs="Times New Roman"/>
        </w:rPr>
        <w:t xml:space="preserve">over the past year </w:t>
      </w:r>
      <w:r w:rsidR="0096793E">
        <w:rPr>
          <w:rFonts w:ascii="Times New Roman" w:hAnsi="Times New Roman" w:cs="Times New Roman"/>
        </w:rPr>
        <w:t>that impact how an employer conducts the applicant review process for PERM.</w:t>
      </w:r>
    </w:p>
    <w:p w14:paraId="607504DD" w14:textId="77777777" w:rsidR="00513796" w:rsidRDefault="00513796" w:rsidP="00FA04B3">
      <w:pPr>
        <w:widowControl w:val="0"/>
        <w:autoSpaceDE w:val="0"/>
        <w:autoSpaceDN w:val="0"/>
        <w:adjustRightInd w:val="0"/>
        <w:jc w:val="both"/>
        <w:rPr>
          <w:rFonts w:ascii="Times New Roman" w:hAnsi="Times New Roman" w:cs="Times New Roman"/>
        </w:rPr>
      </w:pPr>
    </w:p>
    <w:p w14:paraId="5D87F4CD" w14:textId="462CFDD1" w:rsidR="00AE681E" w:rsidRDefault="00085742" w:rsidP="00AE681E">
      <w:pPr>
        <w:pStyle w:val="NoSpacing"/>
        <w:jc w:val="both"/>
        <w:rPr>
          <w:szCs w:val="24"/>
        </w:rPr>
      </w:pPr>
      <w:r>
        <w:rPr>
          <w:szCs w:val="24"/>
        </w:rPr>
        <w:t>It is important to note that t</w:t>
      </w:r>
      <w:r w:rsidR="00AE681E">
        <w:rPr>
          <w:szCs w:val="24"/>
        </w:rPr>
        <w:t>he PERM regulations do not provide specific standards under which U.S. applicants can be properly rejected, instructing only that employers provide a recruitment report describing the recruitment steps taken and results achieved, categorizing any U.S. workers rejected by the lawful job</w:t>
      </w:r>
      <w:r w:rsidR="00B024FC">
        <w:rPr>
          <w:szCs w:val="24"/>
        </w:rPr>
        <w:t>-</w:t>
      </w:r>
      <w:r w:rsidR="00AE681E">
        <w:rPr>
          <w:szCs w:val="24"/>
        </w:rPr>
        <w:t xml:space="preserve">related reasons for rejection, and demonstrating that the employer made a good-faith effort to recruit qualified U.S. workers. The absence of guidance on this point meant that employers </w:t>
      </w:r>
      <w:r w:rsidR="00180788">
        <w:rPr>
          <w:szCs w:val="24"/>
        </w:rPr>
        <w:t xml:space="preserve">have </w:t>
      </w:r>
      <w:r w:rsidR="00AE681E">
        <w:rPr>
          <w:szCs w:val="24"/>
        </w:rPr>
        <w:t>had to guess at the acceptab</w:t>
      </w:r>
      <w:r w:rsidR="0031613C">
        <w:rPr>
          <w:szCs w:val="24"/>
        </w:rPr>
        <w:t>le standard for disqualifying applicants</w:t>
      </w:r>
      <w:r w:rsidR="00AE681E">
        <w:rPr>
          <w:szCs w:val="24"/>
        </w:rPr>
        <w:t xml:space="preserve">, using “good faith effort” </w:t>
      </w:r>
      <w:r w:rsidR="00180788">
        <w:rPr>
          <w:szCs w:val="24"/>
        </w:rPr>
        <w:t xml:space="preserve">and prior experience with the labor certification process as </w:t>
      </w:r>
      <w:r w:rsidR="00AE681E">
        <w:rPr>
          <w:szCs w:val="24"/>
        </w:rPr>
        <w:t>guide</w:t>
      </w:r>
      <w:r w:rsidR="00180788">
        <w:rPr>
          <w:szCs w:val="24"/>
        </w:rPr>
        <w:t>s</w:t>
      </w:r>
      <w:r w:rsidR="00AE681E">
        <w:rPr>
          <w:szCs w:val="24"/>
        </w:rPr>
        <w:t xml:space="preserve">. </w:t>
      </w:r>
    </w:p>
    <w:p w14:paraId="6EA62B30" w14:textId="649A9C07" w:rsidR="00192A7D" w:rsidRDefault="00192A7D" w:rsidP="00AE681E">
      <w:pPr>
        <w:pStyle w:val="NoSpacing"/>
        <w:jc w:val="both"/>
        <w:rPr>
          <w:szCs w:val="24"/>
        </w:rPr>
      </w:pPr>
    </w:p>
    <w:p w14:paraId="460EA709" w14:textId="67F33646" w:rsidR="00A0371F" w:rsidRDefault="00513796"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Certifying Officer began denying PERM applications filed in 2013 and later after reviewing audit responses that included the requested recruitment reports and applicant </w:t>
      </w:r>
      <w:r w:rsidR="00254B83">
        <w:rPr>
          <w:rFonts w:ascii="Times New Roman" w:hAnsi="Times New Roman" w:cs="Times New Roman"/>
        </w:rPr>
        <w:t>resumes.</w:t>
      </w:r>
      <w:r>
        <w:rPr>
          <w:rFonts w:ascii="Times New Roman" w:hAnsi="Times New Roman" w:cs="Times New Roman"/>
        </w:rPr>
        <w:t xml:space="preserve"> </w:t>
      </w:r>
      <w:r w:rsidR="00254B83">
        <w:rPr>
          <w:rFonts w:ascii="Times New Roman" w:hAnsi="Times New Roman" w:cs="Times New Roman"/>
        </w:rPr>
        <w:t>I</w:t>
      </w:r>
      <w:r w:rsidR="009704D1">
        <w:rPr>
          <w:rFonts w:ascii="Times New Roman" w:hAnsi="Times New Roman" w:cs="Times New Roman"/>
        </w:rPr>
        <w:t xml:space="preserve">n some cases </w:t>
      </w:r>
      <w:r>
        <w:rPr>
          <w:rFonts w:ascii="Times New Roman" w:hAnsi="Times New Roman" w:cs="Times New Roman"/>
        </w:rPr>
        <w:t xml:space="preserve">finding </w:t>
      </w:r>
      <w:r w:rsidR="009704D1">
        <w:rPr>
          <w:rFonts w:ascii="Times New Roman" w:hAnsi="Times New Roman" w:cs="Times New Roman"/>
        </w:rPr>
        <w:t xml:space="preserve">technical </w:t>
      </w:r>
      <w:r>
        <w:rPr>
          <w:rFonts w:ascii="Times New Roman" w:hAnsi="Times New Roman" w:cs="Times New Roman"/>
        </w:rPr>
        <w:t>fault with recruitment reports that contained inconsistencies or audit responses that failed t</w:t>
      </w:r>
      <w:r w:rsidR="00A0371F">
        <w:rPr>
          <w:rFonts w:ascii="Times New Roman" w:hAnsi="Times New Roman" w:cs="Times New Roman"/>
        </w:rPr>
        <w:t>o include all applicant resumes,</w:t>
      </w:r>
      <w:r w:rsidR="003743BD">
        <w:rPr>
          <w:rStyle w:val="FootnoteReference"/>
          <w:rFonts w:ascii="Times New Roman" w:hAnsi="Times New Roman" w:cs="Times New Roman"/>
        </w:rPr>
        <w:footnoteReference w:id="2"/>
      </w:r>
      <w:r w:rsidR="00A0371F">
        <w:rPr>
          <w:rFonts w:ascii="Times New Roman" w:hAnsi="Times New Roman" w:cs="Times New Roman"/>
        </w:rPr>
        <w:t xml:space="preserve"> or rejecting an employer’s reasons for rejection as being impermissible under the PERM rules.</w:t>
      </w:r>
      <w:r w:rsidR="00A0371F">
        <w:rPr>
          <w:rStyle w:val="FootnoteReference"/>
          <w:rFonts w:ascii="Times New Roman" w:hAnsi="Times New Roman" w:cs="Times New Roman"/>
        </w:rPr>
        <w:footnoteReference w:id="3"/>
      </w:r>
      <w:r w:rsidR="00A0371F">
        <w:rPr>
          <w:rFonts w:ascii="Times New Roman" w:hAnsi="Times New Roman" w:cs="Times New Roman"/>
        </w:rPr>
        <w:t xml:space="preserve"> </w:t>
      </w:r>
      <w:r w:rsidR="00B72150">
        <w:rPr>
          <w:rFonts w:ascii="Times New Roman" w:hAnsi="Times New Roman" w:cs="Times New Roman"/>
        </w:rPr>
        <w:t xml:space="preserve"> </w:t>
      </w:r>
      <w:r w:rsidR="00A0371F">
        <w:rPr>
          <w:rFonts w:ascii="Times New Roman" w:hAnsi="Times New Roman" w:cs="Times New Roman"/>
        </w:rPr>
        <w:t xml:space="preserve">A third category of denials involved cases where applicants were disqualified not based on failure to meet one or more job requirements but rather based on the employer’s </w:t>
      </w:r>
      <w:r w:rsidR="000F4686">
        <w:rPr>
          <w:rFonts w:ascii="Times New Roman" w:hAnsi="Times New Roman" w:cs="Times New Roman"/>
        </w:rPr>
        <w:t xml:space="preserve">judgment </w:t>
      </w:r>
      <w:r w:rsidR="00A0371F">
        <w:rPr>
          <w:rFonts w:ascii="Times New Roman" w:hAnsi="Times New Roman" w:cs="Times New Roman"/>
        </w:rPr>
        <w:t>that the applicant would be unable to perform one or m</w:t>
      </w:r>
      <w:r w:rsidR="00085742">
        <w:rPr>
          <w:rFonts w:ascii="Times New Roman" w:hAnsi="Times New Roman" w:cs="Times New Roman"/>
        </w:rPr>
        <w:t xml:space="preserve">ore of the </w:t>
      </w:r>
      <w:r w:rsidR="00A0371F">
        <w:rPr>
          <w:rFonts w:ascii="Times New Roman" w:hAnsi="Times New Roman" w:cs="Times New Roman"/>
        </w:rPr>
        <w:t>job duties</w:t>
      </w:r>
      <w:r w:rsidR="00085742">
        <w:rPr>
          <w:rFonts w:ascii="Times New Roman" w:hAnsi="Times New Roman" w:cs="Times New Roman"/>
        </w:rPr>
        <w:t xml:space="preserve"> specified on ETA Form 9089</w:t>
      </w:r>
      <w:r w:rsidR="000F4686">
        <w:rPr>
          <w:rFonts w:ascii="Times New Roman" w:hAnsi="Times New Roman" w:cs="Times New Roman"/>
        </w:rPr>
        <w:t xml:space="preserve"> </w:t>
      </w:r>
      <w:r w:rsidR="00AE6E82">
        <w:rPr>
          <w:rFonts w:ascii="Times New Roman" w:hAnsi="Times New Roman" w:cs="Times New Roman"/>
        </w:rPr>
        <w:t xml:space="preserve">based on </w:t>
      </w:r>
      <w:r w:rsidR="000F4686">
        <w:rPr>
          <w:rFonts w:ascii="Times New Roman" w:hAnsi="Times New Roman" w:cs="Times New Roman"/>
        </w:rPr>
        <w:t xml:space="preserve">review of the applicant’s resume </w:t>
      </w:r>
      <w:r w:rsidR="00AE6E82">
        <w:rPr>
          <w:rFonts w:ascii="Times New Roman" w:hAnsi="Times New Roman" w:cs="Times New Roman"/>
        </w:rPr>
        <w:t>alone</w:t>
      </w:r>
      <w:r w:rsidR="00A0371F">
        <w:rPr>
          <w:rFonts w:ascii="Times New Roman" w:hAnsi="Times New Roman" w:cs="Times New Roman"/>
        </w:rPr>
        <w:t>.</w:t>
      </w:r>
      <w:r w:rsidR="00A0371F">
        <w:rPr>
          <w:rStyle w:val="FootnoteReference"/>
          <w:rFonts w:ascii="Times New Roman" w:hAnsi="Times New Roman" w:cs="Times New Roman"/>
        </w:rPr>
        <w:footnoteReference w:id="4"/>
      </w:r>
      <w:r w:rsidR="00B72150">
        <w:rPr>
          <w:rFonts w:ascii="Times New Roman" w:hAnsi="Times New Roman" w:cs="Times New Roman"/>
        </w:rPr>
        <w:t xml:space="preserve"> </w:t>
      </w:r>
    </w:p>
    <w:p w14:paraId="7783763D" w14:textId="77777777" w:rsidR="00A0371F" w:rsidRDefault="00A0371F" w:rsidP="00FA04B3">
      <w:pPr>
        <w:widowControl w:val="0"/>
        <w:autoSpaceDE w:val="0"/>
        <w:autoSpaceDN w:val="0"/>
        <w:adjustRightInd w:val="0"/>
        <w:jc w:val="both"/>
        <w:rPr>
          <w:rFonts w:ascii="Times New Roman" w:hAnsi="Times New Roman" w:cs="Times New Roman"/>
        </w:rPr>
      </w:pPr>
    </w:p>
    <w:p w14:paraId="68BE2810" w14:textId="073FBF0B" w:rsidR="00B72150" w:rsidRDefault="00A0371F"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The most far reaching of these recent decisions involve denials where</w:t>
      </w:r>
      <w:r w:rsidR="00513796">
        <w:rPr>
          <w:rFonts w:ascii="Times New Roman" w:hAnsi="Times New Roman" w:cs="Times New Roman"/>
        </w:rPr>
        <w:t xml:space="preserve"> the employer failed to interview an applicant who, in the Certifying Officer’s judgment, </w:t>
      </w:r>
      <w:r w:rsidR="00513796" w:rsidRPr="009704D1">
        <w:rPr>
          <w:rFonts w:ascii="Times New Roman" w:hAnsi="Times New Roman" w:cs="Times New Roman"/>
          <w:i/>
        </w:rPr>
        <w:t>might have been qualified</w:t>
      </w:r>
      <w:r w:rsidR="00513796">
        <w:rPr>
          <w:rFonts w:ascii="Times New Roman" w:hAnsi="Times New Roman" w:cs="Times New Roman"/>
        </w:rPr>
        <w:t xml:space="preserve"> despite </w:t>
      </w:r>
      <w:r w:rsidR="009704D1">
        <w:rPr>
          <w:rFonts w:ascii="Times New Roman" w:hAnsi="Times New Roman" w:cs="Times New Roman"/>
        </w:rPr>
        <w:t xml:space="preserve">submitting a resume that </w:t>
      </w:r>
      <w:r w:rsidR="00AE6E82">
        <w:rPr>
          <w:rFonts w:ascii="Times New Roman" w:hAnsi="Times New Roman" w:cs="Times New Roman"/>
        </w:rPr>
        <w:t xml:space="preserve">showed that the applicant did not hold the required degree, or </w:t>
      </w:r>
      <w:r w:rsidR="009704D1">
        <w:rPr>
          <w:rFonts w:ascii="Times New Roman" w:hAnsi="Times New Roman" w:cs="Times New Roman"/>
        </w:rPr>
        <w:t>failed to include specific mention of one or more of the required job skills in their background.</w:t>
      </w:r>
      <w:r w:rsidR="003743BD">
        <w:rPr>
          <w:rStyle w:val="FootnoteReference"/>
          <w:rFonts w:ascii="Times New Roman" w:hAnsi="Times New Roman" w:cs="Times New Roman"/>
        </w:rPr>
        <w:footnoteReference w:id="5"/>
      </w:r>
      <w:r w:rsidR="009704D1">
        <w:rPr>
          <w:rFonts w:ascii="Times New Roman" w:hAnsi="Times New Roman" w:cs="Times New Roman"/>
        </w:rPr>
        <w:t xml:space="preserve">  </w:t>
      </w:r>
      <w:r w:rsidR="00B72150">
        <w:rPr>
          <w:rFonts w:ascii="Times New Roman" w:hAnsi="Times New Roman" w:cs="Times New Roman"/>
        </w:rPr>
        <w:t xml:space="preserve">In other words, </w:t>
      </w:r>
      <w:r w:rsidR="0025508F">
        <w:rPr>
          <w:rFonts w:ascii="Times New Roman" w:hAnsi="Times New Roman" w:cs="Times New Roman"/>
        </w:rPr>
        <w:t>with only rare reversals by BALCA</w:t>
      </w:r>
      <w:r w:rsidR="00151142">
        <w:rPr>
          <w:rFonts w:ascii="Times New Roman" w:hAnsi="Times New Roman" w:cs="Times New Roman"/>
        </w:rPr>
        <w:t>,</w:t>
      </w:r>
      <w:r w:rsidR="0025508F">
        <w:rPr>
          <w:rFonts w:ascii="Times New Roman" w:hAnsi="Times New Roman" w:cs="Times New Roman"/>
        </w:rPr>
        <w:t xml:space="preserve"> </w:t>
      </w:r>
      <w:r w:rsidR="00B72150">
        <w:rPr>
          <w:rFonts w:ascii="Times New Roman" w:hAnsi="Times New Roman" w:cs="Times New Roman"/>
        </w:rPr>
        <w:t xml:space="preserve">the </w:t>
      </w:r>
      <w:r w:rsidR="00B72150">
        <w:rPr>
          <w:rFonts w:ascii="Times New Roman" w:hAnsi="Times New Roman" w:cs="Times New Roman"/>
        </w:rPr>
        <w:lastRenderedPageBreak/>
        <w:t xml:space="preserve">Certifying Officer </w:t>
      </w:r>
      <w:r w:rsidR="00490D4C">
        <w:rPr>
          <w:rFonts w:ascii="Times New Roman" w:hAnsi="Times New Roman" w:cs="Times New Roman"/>
        </w:rPr>
        <w:t xml:space="preserve">is now </w:t>
      </w:r>
      <w:r w:rsidR="00B72150">
        <w:rPr>
          <w:rFonts w:ascii="Times New Roman" w:hAnsi="Times New Roman" w:cs="Times New Roman"/>
        </w:rPr>
        <w:t>substituting his judgment for the employer’s judgment about who should be interviewed for a particular position</w:t>
      </w:r>
      <w:r w:rsidR="0031613C">
        <w:rPr>
          <w:rFonts w:ascii="Times New Roman" w:hAnsi="Times New Roman" w:cs="Times New Roman"/>
        </w:rPr>
        <w:t>, akin</w:t>
      </w:r>
      <w:r w:rsidR="00490D4C">
        <w:rPr>
          <w:rFonts w:ascii="Times New Roman" w:hAnsi="Times New Roman" w:cs="Times New Roman"/>
        </w:rPr>
        <w:t xml:space="preserve"> to what the CO does in a supervised recruitment case</w:t>
      </w:r>
      <w:r w:rsidR="00B72150">
        <w:rPr>
          <w:rFonts w:ascii="Times New Roman" w:hAnsi="Times New Roman" w:cs="Times New Roman"/>
        </w:rPr>
        <w:t>.</w:t>
      </w:r>
      <w:r w:rsidR="00154518">
        <w:rPr>
          <w:rStyle w:val="FootnoteReference"/>
          <w:rFonts w:ascii="Times New Roman" w:hAnsi="Times New Roman" w:cs="Times New Roman"/>
        </w:rPr>
        <w:footnoteReference w:id="6"/>
      </w:r>
      <w:r w:rsidR="00CE0ED1">
        <w:rPr>
          <w:rFonts w:ascii="Times New Roman" w:hAnsi="Times New Roman" w:cs="Times New Roman"/>
        </w:rPr>
        <w:t xml:space="preserve">  </w:t>
      </w:r>
    </w:p>
    <w:p w14:paraId="2AE77C53" w14:textId="6044E337" w:rsidR="006838E7" w:rsidRDefault="006838E7" w:rsidP="00FA04B3">
      <w:pPr>
        <w:widowControl w:val="0"/>
        <w:autoSpaceDE w:val="0"/>
        <w:autoSpaceDN w:val="0"/>
        <w:adjustRightInd w:val="0"/>
        <w:jc w:val="both"/>
        <w:rPr>
          <w:rFonts w:ascii="Times New Roman" w:hAnsi="Times New Roman" w:cs="Times New Roman"/>
        </w:rPr>
      </w:pPr>
    </w:p>
    <w:p w14:paraId="059F9813" w14:textId="4C62557B" w:rsidR="00192674" w:rsidRDefault="004F6070"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T</w:t>
      </w:r>
      <w:r w:rsidR="003743BD">
        <w:rPr>
          <w:rFonts w:ascii="Times New Roman" w:hAnsi="Times New Roman" w:cs="Times New Roman"/>
        </w:rPr>
        <w:t>he</w:t>
      </w:r>
      <w:r>
        <w:rPr>
          <w:rFonts w:ascii="Times New Roman" w:hAnsi="Times New Roman" w:cs="Times New Roman"/>
        </w:rPr>
        <w:t xml:space="preserve"> CO has create</w:t>
      </w:r>
      <w:r w:rsidR="00180788">
        <w:rPr>
          <w:rFonts w:ascii="Times New Roman" w:hAnsi="Times New Roman" w:cs="Times New Roman"/>
        </w:rPr>
        <w:t>d</w:t>
      </w:r>
      <w:r>
        <w:rPr>
          <w:rFonts w:ascii="Times New Roman" w:hAnsi="Times New Roman" w:cs="Times New Roman"/>
        </w:rPr>
        <w:t xml:space="preserve"> a </w:t>
      </w:r>
      <w:r w:rsidR="003743BD">
        <w:rPr>
          <w:rFonts w:ascii="Times New Roman" w:hAnsi="Times New Roman" w:cs="Times New Roman"/>
        </w:rPr>
        <w:t>set of</w:t>
      </w:r>
      <w:r w:rsidR="00192674">
        <w:rPr>
          <w:rFonts w:ascii="Times New Roman" w:hAnsi="Times New Roman" w:cs="Times New Roman"/>
        </w:rPr>
        <w:t xml:space="preserve"> surrogate</w:t>
      </w:r>
      <w:r w:rsidR="003743BD">
        <w:rPr>
          <w:rFonts w:ascii="Times New Roman" w:hAnsi="Times New Roman" w:cs="Times New Roman"/>
        </w:rPr>
        <w:t xml:space="preserve"> tests regarding who should be interviewed and under what </w:t>
      </w:r>
      <w:r w:rsidR="00CE0ED1">
        <w:rPr>
          <w:rFonts w:ascii="Times New Roman" w:hAnsi="Times New Roman" w:cs="Times New Roman"/>
        </w:rPr>
        <w:t xml:space="preserve">conditions, </w:t>
      </w:r>
      <w:r w:rsidR="00180788">
        <w:rPr>
          <w:rFonts w:ascii="Times New Roman" w:hAnsi="Times New Roman" w:cs="Times New Roman"/>
        </w:rPr>
        <w:t>apparently based on an undefined</w:t>
      </w:r>
      <w:r w:rsidR="003743BD">
        <w:rPr>
          <w:rFonts w:ascii="Times New Roman" w:hAnsi="Times New Roman" w:cs="Times New Roman"/>
        </w:rPr>
        <w:t xml:space="preserve"> “reasonable person” standard, and BALCA has </w:t>
      </w:r>
      <w:r w:rsidR="00F7071F">
        <w:rPr>
          <w:rFonts w:ascii="Times New Roman" w:hAnsi="Times New Roman" w:cs="Times New Roman"/>
        </w:rPr>
        <w:t>generally affirmed.  The basic</w:t>
      </w:r>
      <w:r w:rsidR="003743BD">
        <w:rPr>
          <w:rFonts w:ascii="Times New Roman" w:hAnsi="Times New Roman" w:cs="Times New Roman"/>
        </w:rPr>
        <w:t xml:space="preserve"> idea</w:t>
      </w:r>
      <w:r w:rsidR="000079BF">
        <w:rPr>
          <w:rFonts w:ascii="Times New Roman" w:hAnsi="Times New Roman" w:cs="Times New Roman"/>
        </w:rPr>
        <w:t xml:space="preserve"> that has been repeated in multiple decisions</w:t>
      </w:r>
      <w:r w:rsidR="003743BD">
        <w:rPr>
          <w:rFonts w:ascii="Times New Roman" w:hAnsi="Times New Roman" w:cs="Times New Roman"/>
        </w:rPr>
        <w:t xml:space="preserve"> is that if an applicant has many years of experience in the generic occupation (e.g., as a software engineer), it doesn’t matter if their experience does not encompass the specific subject </w:t>
      </w:r>
      <w:r w:rsidR="00192674">
        <w:rPr>
          <w:rFonts w:ascii="Times New Roman" w:hAnsi="Times New Roman" w:cs="Times New Roman"/>
        </w:rPr>
        <w:t xml:space="preserve">matter of the job being offered, the applicant should at least have been interviewed </w:t>
      </w:r>
      <w:r w:rsidR="001125A7">
        <w:rPr>
          <w:rFonts w:ascii="Times New Roman" w:hAnsi="Times New Roman" w:cs="Times New Roman"/>
        </w:rPr>
        <w:t xml:space="preserve">to verify their lack of qualification </w:t>
      </w:r>
      <w:r w:rsidR="00192674">
        <w:rPr>
          <w:rFonts w:ascii="Times New Roman" w:hAnsi="Times New Roman" w:cs="Times New Roman"/>
        </w:rPr>
        <w:t xml:space="preserve">before being disqualified.  </w:t>
      </w:r>
    </w:p>
    <w:p w14:paraId="005F41DC" w14:textId="7AA5DB49" w:rsidR="000079BF" w:rsidRDefault="000079BF" w:rsidP="00FA04B3">
      <w:pPr>
        <w:widowControl w:val="0"/>
        <w:autoSpaceDE w:val="0"/>
        <w:autoSpaceDN w:val="0"/>
        <w:adjustRightInd w:val="0"/>
        <w:jc w:val="both"/>
        <w:rPr>
          <w:rFonts w:ascii="Times New Roman" w:hAnsi="Times New Roman" w:cs="Times New Roman"/>
        </w:rPr>
      </w:pPr>
    </w:p>
    <w:p w14:paraId="7C8EDD55" w14:textId="4F68F361" w:rsidR="000079BF" w:rsidRDefault="00F7071F" w:rsidP="000079BF">
      <w:pPr>
        <w:pStyle w:val="NoSpacing"/>
        <w:jc w:val="both"/>
        <w:rPr>
          <w:szCs w:val="24"/>
        </w:rPr>
      </w:pPr>
      <w:r>
        <w:rPr>
          <w:szCs w:val="24"/>
        </w:rPr>
        <w:t xml:space="preserve">The </w:t>
      </w:r>
      <w:r w:rsidR="00180788">
        <w:rPr>
          <w:szCs w:val="24"/>
        </w:rPr>
        <w:t xml:space="preserve">fuzzy </w:t>
      </w:r>
      <w:r>
        <w:rPr>
          <w:szCs w:val="24"/>
        </w:rPr>
        <w:t>contours of BALCA’s position</w:t>
      </w:r>
      <w:r w:rsidR="000079BF">
        <w:rPr>
          <w:szCs w:val="24"/>
        </w:rPr>
        <w:t xml:space="preserve"> </w:t>
      </w:r>
      <w:r w:rsidR="00CD7058">
        <w:rPr>
          <w:szCs w:val="24"/>
        </w:rPr>
        <w:t>appear</w:t>
      </w:r>
      <w:r w:rsidR="000079BF">
        <w:rPr>
          <w:szCs w:val="24"/>
        </w:rPr>
        <w:t xml:space="preserve"> to be as follows:</w:t>
      </w:r>
    </w:p>
    <w:p w14:paraId="0FCE08DB" w14:textId="77777777" w:rsidR="000079BF" w:rsidRDefault="000079BF" w:rsidP="000079BF">
      <w:pPr>
        <w:pStyle w:val="NoSpacing"/>
        <w:jc w:val="both"/>
        <w:rPr>
          <w:szCs w:val="24"/>
        </w:rPr>
      </w:pPr>
    </w:p>
    <w:p w14:paraId="6E368083" w14:textId="3373C06B" w:rsidR="000079BF" w:rsidRDefault="000079BF" w:rsidP="000079BF">
      <w:pPr>
        <w:pStyle w:val="NoSpacing"/>
        <w:numPr>
          <w:ilvl w:val="0"/>
          <w:numId w:val="23"/>
        </w:numPr>
        <w:jc w:val="both"/>
        <w:rPr>
          <w:szCs w:val="24"/>
        </w:rPr>
      </w:pPr>
      <w:r>
        <w:rPr>
          <w:szCs w:val="24"/>
        </w:rPr>
        <w:t>Whenever an applicant has something resembling the required education or degree and more years of experience in an occupation than are required in ETA Form 9089 Section H, BALCA will find that the employer should have at least interviewed the applicant and provided more detailed information on why the applicant was rejected.</w:t>
      </w:r>
      <w:r w:rsidR="00D03AB7">
        <w:rPr>
          <w:rStyle w:val="FootnoteReference"/>
          <w:szCs w:val="24"/>
        </w:rPr>
        <w:footnoteReference w:id="7"/>
      </w:r>
    </w:p>
    <w:p w14:paraId="578351C0" w14:textId="6B683CE6" w:rsidR="003E498E" w:rsidRDefault="00CD7058" w:rsidP="000079BF">
      <w:pPr>
        <w:pStyle w:val="NoSpacing"/>
        <w:numPr>
          <w:ilvl w:val="0"/>
          <w:numId w:val="23"/>
        </w:numPr>
        <w:jc w:val="both"/>
        <w:rPr>
          <w:szCs w:val="24"/>
        </w:rPr>
      </w:pPr>
      <w:r>
        <w:rPr>
          <w:szCs w:val="24"/>
        </w:rPr>
        <w:t>Even where an applicant does not possess the required degree, if the</w:t>
      </w:r>
      <w:r w:rsidR="003E498E">
        <w:rPr>
          <w:szCs w:val="24"/>
        </w:rPr>
        <w:t xml:space="preserve"> applicant has direct experience performing the </w:t>
      </w:r>
      <w:r>
        <w:rPr>
          <w:szCs w:val="24"/>
        </w:rPr>
        <w:t>job duties described for the PERM position, the applicant should be interviewed.</w:t>
      </w:r>
      <w:r>
        <w:rPr>
          <w:rStyle w:val="FootnoteReference"/>
          <w:szCs w:val="24"/>
        </w:rPr>
        <w:footnoteReference w:id="8"/>
      </w:r>
    </w:p>
    <w:p w14:paraId="3BED2251" w14:textId="77777777" w:rsidR="000079BF" w:rsidRDefault="000079BF" w:rsidP="000079BF">
      <w:pPr>
        <w:pStyle w:val="NoSpacing"/>
        <w:jc w:val="both"/>
        <w:rPr>
          <w:szCs w:val="24"/>
        </w:rPr>
      </w:pPr>
    </w:p>
    <w:p w14:paraId="134A59AA" w14:textId="2675C50E" w:rsidR="000079BF" w:rsidRDefault="00F7071F" w:rsidP="000079BF">
      <w:pPr>
        <w:pStyle w:val="NoSpacing"/>
        <w:jc w:val="both"/>
        <w:rPr>
          <w:szCs w:val="24"/>
        </w:rPr>
      </w:pPr>
      <w:r>
        <w:rPr>
          <w:szCs w:val="24"/>
        </w:rPr>
        <w:t>In addition, s</w:t>
      </w:r>
      <w:r w:rsidR="000079BF">
        <w:rPr>
          <w:szCs w:val="24"/>
        </w:rPr>
        <w:t>pecific factors p</w:t>
      </w:r>
      <w:r>
        <w:rPr>
          <w:szCs w:val="24"/>
        </w:rPr>
        <w:t>resent in the ETA Form 9089 will</w:t>
      </w:r>
      <w:r w:rsidR="000079BF">
        <w:rPr>
          <w:szCs w:val="24"/>
        </w:rPr>
        <w:t xml:space="preserve"> </w:t>
      </w:r>
      <w:r w:rsidR="000079BF" w:rsidRPr="00F7071F">
        <w:rPr>
          <w:i/>
          <w:szCs w:val="24"/>
        </w:rPr>
        <w:t>enhance</w:t>
      </w:r>
      <w:r w:rsidR="000079BF">
        <w:rPr>
          <w:szCs w:val="24"/>
        </w:rPr>
        <w:t xml:space="preserve"> an employer’s duty to interview applicants and provide more specific justifications as to why an applicant who meets the basic pro</w:t>
      </w:r>
      <w:r>
        <w:rPr>
          <w:szCs w:val="24"/>
        </w:rPr>
        <w:t>file was disqualified</w:t>
      </w:r>
      <w:r w:rsidR="000079BF">
        <w:rPr>
          <w:szCs w:val="24"/>
        </w:rPr>
        <w:t>:</w:t>
      </w:r>
    </w:p>
    <w:p w14:paraId="265E993D" w14:textId="77777777" w:rsidR="000079BF" w:rsidRDefault="000079BF" w:rsidP="000079BF">
      <w:pPr>
        <w:pStyle w:val="NoSpacing"/>
        <w:ind w:left="360"/>
        <w:jc w:val="both"/>
        <w:rPr>
          <w:szCs w:val="24"/>
        </w:rPr>
      </w:pPr>
    </w:p>
    <w:p w14:paraId="162981C5" w14:textId="7FDF6CB3" w:rsidR="000079BF" w:rsidRDefault="000079BF" w:rsidP="000079BF">
      <w:pPr>
        <w:pStyle w:val="NoSpacing"/>
        <w:numPr>
          <w:ilvl w:val="0"/>
          <w:numId w:val="23"/>
        </w:numPr>
        <w:jc w:val="both"/>
        <w:rPr>
          <w:szCs w:val="24"/>
        </w:rPr>
      </w:pPr>
      <w:r>
        <w:rPr>
          <w:szCs w:val="24"/>
        </w:rPr>
        <w:t>No experience required</w:t>
      </w:r>
      <w:r w:rsidR="00727952">
        <w:rPr>
          <w:rStyle w:val="FootnoteReference"/>
          <w:szCs w:val="24"/>
        </w:rPr>
        <w:footnoteReference w:id="9"/>
      </w:r>
    </w:p>
    <w:p w14:paraId="5164166B" w14:textId="7A864BCB" w:rsidR="000079BF" w:rsidRDefault="000079BF" w:rsidP="000079BF">
      <w:pPr>
        <w:pStyle w:val="NoSpacing"/>
        <w:numPr>
          <w:ilvl w:val="0"/>
          <w:numId w:val="23"/>
        </w:numPr>
        <w:jc w:val="both"/>
        <w:rPr>
          <w:szCs w:val="24"/>
        </w:rPr>
      </w:pPr>
      <w:r>
        <w:rPr>
          <w:szCs w:val="24"/>
        </w:rPr>
        <w:t>No special skills required</w:t>
      </w:r>
      <w:r w:rsidR="00727952">
        <w:rPr>
          <w:rStyle w:val="FootnoteReference"/>
          <w:szCs w:val="24"/>
        </w:rPr>
        <w:footnoteReference w:id="10"/>
      </w:r>
    </w:p>
    <w:p w14:paraId="0D1692D3" w14:textId="65F376D7" w:rsidR="00F7071F" w:rsidRPr="00F7071F" w:rsidRDefault="00F7071F" w:rsidP="00F7071F">
      <w:pPr>
        <w:pStyle w:val="NoSpacing"/>
        <w:numPr>
          <w:ilvl w:val="0"/>
          <w:numId w:val="23"/>
        </w:numPr>
        <w:jc w:val="both"/>
        <w:rPr>
          <w:szCs w:val="24"/>
        </w:rPr>
      </w:pPr>
      <w:r>
        <w:rPr>
          <w:szCs w:val="24"/>
        </w:rPr>
        <w:lastRenderedPageBreak/>
        <w:t>Subjective special skill requirements</w:t>
      </w:r>
      <w:r>
        <w:rPr>
          <w:rStyle w:val="FootnoteReference"/>
          <w:szCs w:val="24"/>
        </w:rPr>
        <w:footnoteReference w:id="11"/>
      </w:r>
    </w:p>
    <w:p w14:paraId="07BCD506" w14:textId="32F79DAF" w:rsidR="000079BF" w:rsidRDefault="000079BF" w:rsidP="000079BF">
      <w:pPr>
        <w:pStyle w:val="NoSpacing"/>
        <w:numPr>
          <w:ilvl w:val="0"/>
          <w:numId w:val="23"/>
        </w:numPr>
        <w:jc w:val="both"/>
        <w:rPr>
          <w:szCs w:val="24"/>
        </w:rPr>
      </w:pPr>
      <w:r>
        <w:rPr>
          <w:szCs w:val="24"/>
        </w:rPr>
        <w:t xml:space="preserve">Experience in </w:t>
      </w:r>
      <w:r w:rsidR="00B024FC">
        <w:rPr>
          <w:szCs w:val="24"/>
        </w:rPr>
        <w:t>an alternate occupation is</w:t>
      </w:r>
      <w:r>
        <w:rPr>
          <w:szCs w:val="24"/>
        </w:rPr>
        <w:t xml:space="preserve"> acceptable</w:t>
      </w:r>
      <w:r w:rsidR="00B024FC">
        <w:rPr>
          <w:rStyle w:val="FootnoteReference"/>
          <w:szCs w:val="24"/>
        </w:rPr>
        <w:footnoteReference w:id="12"/>
      </w:r>
    </w:p>
    <w:p w14:paraId="72450BF6" w14:textId="68F18963" w:rsidR="000079BF" w:rsidRDefault="000079BF" w:rsidP="000079BF">
      <w:pPr>
        <w:pStyle w:val="NoSpacing"/>
        <w:numPr>
          <w:ilvl w:val="0"/>
          <w:numId w:val="23"/>
        </w:numPr>
        <w:jc w:val="both"/>
        <w:rPr>
          <w:szCs w:val="24"/>
        </w:rPr>
      </w:pPr>
      <w:r>
        <w:rPr>
          <w:szCs w:val="24"/>
        </w:rPr>
        <w:t>Kellogg language included</w:t>
      </w:r>
      <w:r w:rsidR="00490D4C">
        <w:rPr>
          <w:rStyle w:val="FootnoteReference"/>
          <w:szCs w:val="24"/>
        </w:rPr>
        <w:footnoteReference w:id="13"/>
      </w:r>
    </w:p>
    <w:p w14:paraId="5DE8D2D4" w14:textId="77777777" w:rsidR="000079BF" w:rsidRDefault="000079BF" w:rsidP="000079BF">
      <w:pPr>
        <w:pStyle w:val="NoSpacing"/>
        <w:jc w:val="both"/>
        <w:rPr>
          <w:szCs w:val="24"/>
        </w:rPr>
      </w:pPr>
    </w:p>
    <w:p w14:paraId="47ECEF99" w14:textId="410847AD" w:rsidR="000079BF" w:rsidRDefault="000079BF" w:rsidP="000079BF">
      <w:pPr>
        <w:pStyle w:val="NoSpacing"/>
        <w:jc w:val="both"/>
        <w:rPr>
          <w:szCs w:val="24"/>
        </w:rPr>
      </w:pPr>
      <w:r>
        <w:rPr>
          <w:szCs w:val="24"/>
        </w:rPr>
        <w:t>In addition, while BALCA acknowledges that an inability to perform the job duties specified in Section H.11 of ETA Form 9089 can be leveraged to serve as a basis for disqualification, BALCA has also clari</w:t>
      </w:r>
      <w:r w:rsidR="00AD269D">
        <w:rPr>
          <w:szCs w:val="24"/>
        </w:rPr>
        <w:t>fied that specific conditions can render this reasoning insufficient</w:t>
      </w:r>
      <w:r>
        <w:rPr>
          <w:szCs w:val="24"/>
        </w:rPr>
        <w:t xml:space="preserve"> when disqualify</w:t>
      </w:r>
      <w:r w:rsidR="00AD269D">
        <w:rPr>
          <w:szCs w:val="24"/>
        </w:rPr>
        <w:t>ing</w:t>
      </w:r>
      <w:r>
        <w:rPr>
          <w:szCs w:val="24"/>
        </w:rPr>
        <w:t xml:space="preserve"> an applicant without an interview to verify such inability:</w:t>
      </w:r>
    </w:p>
    <w:p w14:paraId="67B09F97" w14:textId="77777777" w:rsidR="000079BF" w:rsidRDefault="000079BF" w:rsidP="000079BF">
      <w:pPr>
        <w:pStyle w:val="NoSpacing"/>
        <w:jc w:val="both"/>
        <w:rPr>
          <w:szCs w:val="24"/>
        </w:rPr>
      </w:pPr>
    </w:p>
    <w:p w14:paraId="6077687E" w14:textId="77777777" w:rsidR="00AD269D" w:rsidRDefault="00AD269D" w:rsidP="00AD269D">
      <w:pPr>
        <w:pStyle w:val="NoSpacing"/>
        <w:numPr>
          <w:ilvl w:val="0"/>
          <w:numId w:val="23"/>
        </w:numPr>
        <w:jc w:val="both"/>
        <w:rPr>
          <w:szCs w:val="24"/>
        </w:rPr>
      </w:pPr>
      <w:r>
        <w:rPr>
          <w:szCs w:val="24"/>
        </w:rPr>
        <w:t>Where the job duties require a specific skill but the skill is not listed among the special skill requirements provided at H.14 of ETA Form 9089, an applicant whose resume does not list that specific skill may not be disqualified without an interview;</w:t>
      </w:r>
    </w:p>
    <w:p w14:paraId="7DE749FB" w14:textId="7971555F" w:rsidR="000079BF" w:rsidRDefault="000079BF" w:rsidP="000079BF">
      <w:pPr>
        <w:pStyle w:val="NoSpacing"/>
        <w:numPr>
          <w:ilvl w:val="0"/>
          <w:numId w:val="23"/>
        </w:numPr>
        <w:jc w:val="both"/>
        <w:rPr>
          <w:szCs w:val="24"/>
        </w:rPr>
      </w:pPr>
      <w:r>
        <w:rPr>
          <w:szCs w:val="24"/>
        </w:rPr>
        <w:t>If the applicant possesses related experience and there is a reasonable possibility that the skills can be learned in a reasonable period of on-the-job training, the employer still has a duty to inquire. As a minimum, this means a duty to interview the applicant to verify their qualifications vis-à-vis the job requirements, and provide a thorough explanation of</w:t>
      </w:r>
      <w:r w:rsidR="00AD269D">
        <w:rPr>
          <w:szCs w:val="24"/>
        </w:rPr>
        <w:t xml:space="preserve"> the basis for disqualification.</w:t>
      </w:r>
    </w:p>
    <w:p w14:paraId="4283A112" w14:textId="77777777" w:rsidR="000079BF" w:rsidRDefault="000079BF" w:rsidP="000079BF">
      <w:pPr>
        <w:pStyle w:val="NoSpacing"/>
        <w:jc w:val="both"/>
        <w:rPr>
          <w:szCs w:val="24"/>
        </w:rPr>
      </w:pPr>
    </w:p>
    <w:p w14:paraId="4EC71750" w14:textId="77777777" w:rsidR="000079BF" w:rsidRPr="00622A74" w:rsidRDefault="000079BF" w:rsidP="000079BF">
      <w:pPr>
        <w:pStyle w:val="NoSpacing"/>
        <w:jc w:val="both"/>
        <w:rPr>
          <w:szCs w:val="24"/>
        </w:rPr>
      </w:pPr>
      <w:r w:rsidRPr="00622A74">
        <w:rPr>
          <w:szCs w:val="24"/>
        </w:rPr>
        <w:t>Finally, BALCA will not accept the following justifications for disqualifying a U.S. applicant:</w:t>
      </w:r>
    </w:p>
    <w:p w14:paraId="46D647DB" w14:textId="77777777" w:rsidR="000079BF" w:rsidRDefault="000079BF" w:rsidP="000079BF">
      <w:pPr>
        <w:pStyle w:val="NoSpacing"/>
        <w:ind w:left="360"/>
        <w:jc w:val="both"/>
        <w:rPr>
          <w:szCs w:val="24"/>
        </w:rPr>
      </w:pPr>
    </w:p>
    <w:p w14:paraId="258F76B3" w14:textId="41CA50F3" w:rsidR="000079BF" w:rsidRDefault="000079BF" w:rsidP="000079BF">
      <w:pPr>
        <w:pStyle w:val="NoSpacing"/>
        <w:numPr>
          <w:ilvl w:val="0"/>
          <w:numId w:val="24"/>
        </w:numPr>
        <w:jc w:val="both"/>
        <w:rPr>
          <w:szCs w:val="24"/>
        </w:rPr>
      </w:pPr>
      <w:r>
        <w:rPr>
          <w:szCs w:val="24"/>
        </w:rPr>
        <w:t>Applicant was overqualified</w:t>
      </w:r>
      <w:r w:rsidR="00154518">
        <w:rPr>
          <w:rStyle w:val="FootnoteReference"/>
          <w:szCs w:val="24"/>
        </w:rPr>
        <w:footnoteReference w:id="14"/>
      </w:r>
    </w:p>
    <w:p w14:paraId="0BC97836" w14:textId="092842A5" w:rsidR="000079BF" w:rsidRDefault="000079BF" w:rsidP="000079BF">
      <w:pPr>
        <w:pStyle w:val="NoSpacing"/>
        <w:numPr>
          <w:ilvl w:val="0"/>
          <w:numId w:val="24"/>
        </w:numPr>
        <w:jc w:val="both"/>
        <w:rPr>
          <w:szCs w:val="24"/>
        </w:rPr>
      </w:pPr>
      <w:r>
        <w:rPr>
          <w:szCs w:val="24"/>
        </w:rPr>
        <w:t>Applicant really wanted another position</w:t>
      </w:r>
      <w:r w:rsidR="00727952">
        <w:rPr>
          <w:rStyle w:val="FootnoteReference"/>
          <w:szCs w:val="24"/>
        </w:rPr>
        <w:footnoteReference w:id="15"/>
      </w:r>
    </w:p>
    <w:p w14:paraId="4B157886" w14:textId="000B1FB7" w:rsidR="000079BF" w:rsidRDefault="000079BF" w:rsidP="000079BF">
      <w:pPr>
        <w:pStyle w:val="NoSpacing"/>
        <w:numPr>
          <w:ilvl w:val="0"/>
          <w:numId w:val="24"/>
        </w:numPr>
        <w:jc w:val="both"/>
        <w:rPr>
          <w:szCs w:val="24"/>
        </w:rPr>
      </w:pPr>
      <w:r>
        <w:rPr>
          <w:szCs w:val="24"/>
        </w:rPr>
        <w:lastRenderedPageBreak/>
        <w:t>Applicant demanded higher pay</w:t>
      </w:r>
      <w:r w:rsidR="00D03AB7">
        <w:rPr>
          <w:rStyle w:val="FootnoteReference"/>
          <w:szCs w:val="24"/>
        </w:rPr>
        <w:footnoteReference w:id="16"/>
      </w:r>
    </w:p>
    <w:p w14:paraId="11BD7C68" w14:textId="1E673E05" w:rsidR="000079BF" w:rsidRDefault="000079BF" w:rsidP="000079BF">
      <w:pPr>
        <w:pStyle w:val="NoSpacing"/>
        <w:numPr>
          <w:ilvl w:val="0"/>
          <w:numId w:val="24"/>
        </w:numPr>
        <w:jc w:val="both"/>
        <w:rPr>
          <w:szCs w:val="24"/>
        </w:rPr>
      </w:pPr>
      <w:r>
        <w:rPr>
          <w:szCs w:val="24"/>
        </w:rPr>
        <w:t>Applicant submitted a poorly written resume</w:t>
      </w:r>
      <w:r w:rsidR="00727952">
        <w:rPr>
          <w:rStyle w:val="FootnoteReference"/>
          <w:szCs w:val="24"/>
        </w:rPr>
        <w:footnoteReference w:id="17"/>
      </w:r>
      <w:r>
        <w:rPr>
          <w:szCs w:val="24"/>
        </w:rPr>
        <w:t xml:space="preserve"> </w:t>
      </w:r>
    </w:p>
    <w:p w14:paraId="2D5A5F73" w14:textId="77777777" w:rsidR="000079BF" w:rsidRDefault="000079BF" w:rsidP="000079BF">
      <w:pPr>
        <w:pStyle w:val="NoSpacing"/>
        <w:jc w:val="both"/>
        <w:rPr>
          <w:szCs w:val="24"/>
        </w:rPr>
      </w:pPr>
    </w:p>
    <w:p w14:paraId="5BFC63D6" w14:textId="27932716" w:rsidR="000079BF" w:rsidRPr="0081319A" w:rsidRDefault="000079BF" w:rsidP="000079BF">
      <w:pPr>
        <w:widowControl w:val="0"/>
        <w:autoSpaceDE w:val="0"/>
        <w:autoSpaceDN w:val="0"/>
        <w:adjustRightInd w:val="0"/>
        <w:jc w:val="both"/>
        <w:rPr>
          <w:rFonts w:ascii="Times New Roman" w:hAnsi="Times New Roman" w:cs="Times New Roman"/>
        </w:rPr>
      </w:pPr>
      <w:r w:rsidRPr="0081319A">
        <w:rPr>
          <w:rFonts w:ascii="Times New Roman" w:hAnsi="Times New Roman" w:cs="Times New Roman"/>
        </w:rPr>
        <w:t>Disqualification must be based on an explicit determination (presumably based on an in-person interview) that the applicant was unable to perform the duties of the position and could not gain the required background or skills during a reasonable period of on the job training</w:t>
      </w:r>
      <w:r w:rsidR="0081319A">
        <w:rPr>
          <w:rFonts w:ascii="Times New Roman" w:hAnsi="Times New Roman" w:cs="Times New Roman"/>
        </w:rPr>
        <w:t>.</w:t>
      </w:r>
    </w:p>
    <w:p w14:paraId="52CBD79F" w14:textId="7E16C1A2" w:rsidR="009704D1" w:rsidRDefault="009704D1" w:rsidP="00FA04B3">
      <w:pPr>
        <w:widowControl w:val="0"/>
        <w:autoSpaceDE w:val="0"/>
        <w:autoSpaceDN w:val="0"/>
        <w:adjustRightInd w:val="0"/>
        <w:jc w:val="both"/>
        <w:rPr>
          <w:rFonts w:ascii="Times New Roman" w:hAnsi="Times New Roman" w:cs="Times New Roman"/>
        </w:rPr>
      </w:pPr>
    </w:p>
    <w:p w14:paraId="4A0F5046" w14:textId="61B71294" w:rsidR="000079BF" w:rsidRDefault="000079BF"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In sum, </w:t>
      </w:r>
      <w:r w:rsidRPr="001A3975">
        <w:rPr>
          <w:rFonts w:ascii="Times New Roman" w:hAnsi="Times New Roman" w:cs="Times New Roman"/>
          <w:u w:val="single"/>
        </w:rPr>
        <w:t>it has become abundantly clear in BALCA decisions issued over the past year that old rules of thumb regarding what applicants an employer may safely disqualify without interview no longer apply</w:t>
      </w:r>
      <w:r>
        <w:rPr>
          <w:rFonts w:ascii="Times New Roman" w:hAnsi="Times New Roman" w:cs="Times New Roman"/>
        </w:rPr>
        <w:t>.  In essence</w:t>
      </w:r>
      <w:r w:rsidR="000638AB">
        <w:rPr>
          <w:rFonts w:ascii="Times New Roman" w:hAnsi="Times New Roman" w:cs="Times New Roman"/>
        </w:rPr>
        <w:t xml:space="preserve">, </w:t>
      </w:r>
      <w:r>
        <w:rPr>
          <w:rFonts w:ascii="Times New Roman" w:hAnsi="Times New Roman" w:cs="Times New Roman"/>
        </w:rPr>
        <w:t>it appears that anyone who comes within shouting distance should be interviewed, particularly where the job requirements are minimal in terms of experience and special skills, or where the Kellogg language is included.</w:t>
      </w:r>
      <w:r w:rsidR="004F6070">
        <w:rPr>
          <w:rStyle w:val="FootnoteReference"/>
          <w:rFonts w:ascii="Times New Roman" w:hAnsi="Times New Roman" w:cs="Times New Roman"/>
        </w:rPr>
        <w:footnoteReference w:id="18"/>
      </w:r>
    </w:p>
    <w:p w14:paraId="1E87BE34" w14:textId="21A75152" w:rsidR="007065B2" w:rsidRDefault="00AB51B6" w:rsidP="00FA04B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6E8773A2" w14:textId="3ED86429" w:rsidR="001125A7" w:rsidRPr="00D56B33" w:rsidRDefault="001125A7" w:rsidP="001125A7">
      <w:pPr>
        <w:widowControl w:val="0"/>
        <w:autoSpaceDE w:val="0"/>
        <w:autoSpaceDN w:val="0"/>
        <w:adjustRightInd w:val="0"/>
        <w:ind w:left="720"/>
        <w:jc w:val="both"/>
        <w:rPr>
          <w:rFonts w:ascii="Times New Roman" w:hAnsi="Times New Roman" w:cs="Times New Roman"/>
          <w:color w:val="000000" w:themeColor="text1"/>
        </w:rPr>
      </w:pPr>
      <w:r>
        <w:rPr>
          <w:rFonts w:ascii="Times New Roman" w:hAnsi="Times New Roman" w:cs="Times New Roman"/>
          <w:b/>
          <w:i/>
          <w:color w:val="000000" w:themeColor="text1"/>
        </w:rPr>
        <w:t>Practice Tip</w:t>
      </w:r>
      <w:r w:rsidR="0081319A">
        <w:rPr>
          <w:rFonts w:ascii="Times New Roman" w:hAnsi="Times New Roman" w:cs="Times New Roman"/>
          <w:b/>
          <w:i/>
          <w:color w:val="000000" w:themeColor="text1"/>
        </w:rPr>
        <w:t xml:space="preserve"> #1</w:t>
      </w:r>
      <w:r>
        <w:rPr>
          <w:rFonts w:ascii="Times New Roman" w:hAnsi="Times New Roman" w:cs="Times New Roman"/>
          <w:b/>
          <w:i/>
          <w:color w:val="000000" w:themeColor="text1"/>
        </w:rPr>
        <w:t xml:space="preserve">: </w:t>
      </w:r>
      <w:r>
        <w:rPr>
          <w:rFonts w:ascii="Times New Roman" w:hAnsi="Times New Roman" w:cs="Times New Roman"/>
          <w:color w:val="000000" w:themeColor="text1"/>
        </w:rPr>
        <w:t>Disqualification of an applicant can no longer be based on a simple review of the four corn</w:t>
      </w:r>
      <w:r w:rsidR="0081319A">
        <w:rPr>
          <w:rFonts w:ascii="Times New Roman" w:hAnsi="Times New Roman" w:cs="Times New Roman"/>
          <w:color w:val="000000" w:themeColor="text1"/>
        </w:rPr>
        <w:t>ers of the applicant’s resume.  The relevant test</w:t>
      </w:r>
      <w:r>
        <w:rPr>
          <w:rFonts w:ascii="Times New Roman" w:hAnsi="Times New Roman" w:cs="Times New Roman"/>
          <w:color w:val="000000" w:themeColor="text1"/>
        </w:rPr>
        <w:t xml:space="preserve"> is, w</w:t>
      </w:r>
      <w:r w:rsidRPr="00D56B33">
        <w:rPr>
          <w:rFonts w:ascii="Times New Roman" w:hAnsi="Times New Roman" w:cs="Times New Roman"/>
          <w:color w:val="000000" w:themeColor="text1"/>
        </w:rPr>
        <w:t xml:space="preserve">ould a reasonable person </w:t>
      </w:r>
      <w:r>
        <w:rPr>
          <w:rFonts w:ascii="Times New Roman" w:hAnsi="Times New Roman" w:cs="Times New Roman"/>
          <w:color w:val="000000" w:themeColor="text1"/>
        </w:rPr>
        <w:t>acting in good faith perform at least</w:t>
      </w:r>
      <w:r w:rsidRPr="00D56B33">
        <w:rPr>
          <w:rFonts w:ascii="Times New Roman" w:hAnsi="Times New Roman" w:cs="Times New Roman"/>
          <w:color w:val="000000" w:themeColor="text1"/>
        </w:rPr>
        <w:t xml:space="preserve"> a phone screen with a candidate if it appears that they may qualify, but may not have all the requirements listed</w:t>
      </w:r>
      <w:r w:rsidRPr="00D016E3">
        <w:rPr>
          <w:rFonts w:ascii="Times New Roman" w:hAnsi="Times New Roman" w:cs="Times New Roman"/>
          <w:i/>
          <w:color w:val="000000" w:themeColor="text1"/>
        </w:rPr>
        <w:t xml:space="preserve"> </w:t>
      </w:r>
      <w:r w:rsidRPr="00D56B33">
        <w:rPr>
          <w:rFonts w:ascii="Times New Roman" w:hAnsi="Times New Roman" w:cs="Times New Roman"/>
          <w:color w:val="000000" w:themeColor="text1"/>
        </w:rPr>
        <w:t>on the resume</w:t>
      </w:r>
      <w:r>
        <w:rPr>
          <w:rFonts w:ascii="Times New Roman" w:hAnsi="Times New Roman" w:cs="Times New Roman"/>
          <w:color w:val="000000" w:themeColor="text1"/>
        </w:rPr>
        <w:t>?</w:t>
      </w:r>
      <w:r w:rsidRPr="00D56B33">
        <w:rPr>
          <w:rFonts w:ascii="Times New Roman" w:hAnsi="Times New Roman" w:cs="Times New Roman"/>
          <w:color w:val="000000" w:themeColor="text1"/>
        </w:rPr>
        <w:t xml:space="preserve"> If an applicant has many years of experience in the related field </w:t>
      </w:r>
      <w:r>
        <w:rPr>
          <w:rFonts w:ascii="Times New Roman" w:hAnsi="Times New Roman" w:cs="Times New Roman"/>
          <w:color w:val="000000" w:themeColor="text1"/>
        </w:rPr>
        <w:t>but their resume</w:t>
      </w:r>
      <w:r w:rsidRPr="00D56B33">
        <w:rPr>
          <w:rFonts w:ascii="Times New Roman" w:hAnsi="Times New Roman" w:cs="Times New Roman"/>
          <w:color w:val="000000" w:themeColor="text1"/>
        </w:rPr>
        <w:t xml:space="preserve"> is missing </w:t>
      </w:r>
      <w:r>
        <w:rPr>
          <w:rFonts w:ascii="Times New Roman" w:hAnsi="Times New Roman" w:cs="Times New Roman"/>
          <w:color w:val="000000" w:themeColor="text1"/>
        </w:rPr>
        <w:t>some of the required</w:t>
      </w:r>
      <w:r w:rsidRPr="00D56B33">
        <w:rPr>
          <w:rFonts w:ascii="Times New Roman" w:hAnsi="Times New Roman" w:cs="Times New Roman"/>
          <w:color w:val="000000" w:themeColor="text1"/>
        </w:rPr>
        <w:t xml:space="preserve"> skills, it behooves the employer to at least conduct a phone screen of the candidate and </w:t>
      </w:r>
      <w:r>
        <w:rPr>
          <w:rFonts w:ascii="Times New Roman" w:hAnsi="Times New Roman" w:cs="Times New Roman"/>
          <w:color w:val="000000" w:themeColor="text1"/>
        </w:rPr>
        <w:t>if the interview reveals that the applicant could not perform the job duties even with a reasonable period of on</w:t>
      </w:r>
      <w:r w:rsidR="00631A18">
        <w:rPr>
          <w:rFonts w:ascii="Times New Roman" w:hAnsi="Times New Roman" w:cs="Times New Roman"/>
          <w:color w:val="000000" w:themeColor="text1"/>
        </w:rPr>
        <w:t>-</w:t>
      </w:r>
      <w:r>
        <w:rPr>
          <w:rFonts w:ascii="Times New Roman" w:hAnsi="Times New Roman" w:cs="Times New Roman"/>
          <w:color w:val="000000" w:themeColor="text1"/>
        </w:rPr>
        <w:t>the</w:t>
      </w:r>
      <w:r w:rsidR="00631A18">
        <w:rPr>
          <w:rFonts w:ascii="Times New Roman" w:hAnsi="Times New Roman" w:cs="Times New Roman"/>
          <w:color w:val="000000" w:themeColor="text1"/>
        </w:rPr>
        <w:t>-</w:t>
      </w:r>
      <w:r>
        <w:rPr>
          <w:rFonts w:ascii="Times New Roman" w:hAnsi="Times New Roman" w:cs="Times New Roman"/>
          <w:color w:val="000000" w:themeColor="text1"/>
        </w:rPr>
        <w:t xml:space="preserve">job training, </w:t>
      </w:r>
      <w:r w:rsidRPr="00D56B33">
        <w:rPr>
          <w:rFonts w:ascii="Times New Roman" w:hAnsi="Times New Roman" w:cs="Times New Roman"/>
          <w:color w:val="000000" w:themeColor="text1"/>
        </w:rPr>
        <w:t xml:space="preserve">document the </w:t>
      </w:r>
      <w:r>
        <w:rPr>
          <w:rFonts w:ascii="Times New Roman" w:hAnsi="Times New Roman" w:cs="Times New Roman"/>
          <w:color w:val="000000" w:themeColor="text1"/>
        </w:rPr>
        <w:t xml:space="preserve">reasons for rejection </w:t>
      </w:r>
      <w:r w:rsidRPr="00D56B33">
        <w:rPr>
          <w:rFonts w:ascii="Times New Roman" w:hAnsi="Times New Roman" w:cs="Times New Roman"/>
          <w:color w:val="000000" w:themeColor="text1"/>
        </w:rPr>
        <w:t xml:space="preserve">in </w:t>
      </w:r>
      <w:r>
        <w:rPr>
          <w:rFonts w:ascii="Times New Roman" w:hAnsi="Times New Roman" w:cs="Times New Roman"/>
          <w:color w:val="000000" w:themeColor="text1"/>
        </w:rPr>
        <w:t xml:space="preserve">specific </w:t>
      </w:r>
      <w:r w:rsidRPr="00D56B33">
        <w:rPr>
          <w:rFonts w:ascii="Times New Roman" w:hAnsi="Times New Roman" w:cs="Times New Roman"/>
          <w:color w:val="000000" w:themeColor="text1"/>
        </w:rPr>
        <w:t>detail.</w:t>
      </w:r>
    </w:p>
    <w:p w14:paraId="52042391" w14:textId="1108B304" w:rsidR="00FA04B3" w:rsidRDefault="00FA04B3" w:rsidP="00FA04B3">
      <w:pPr>
        <w:widowControl w:val="0"/>
        <w:autoSpaceDE w:val="0"/>
        <w:autoSpaceDN w:val="0"/>
        <w:adjustRightInd w:val="0"/>
        <w:jc w:val="both"/>
        <w:rPr>
          <w:rFonts w:ascii="Times New Roman" w:hAnsi="Times New Roman" w:cs="Times New Roman"/>
        </w:rPr>
      </w:pPr>
    </w:p>
    <w:p w14:paraId="005438FE" w14:textId="3C257A8B" w:rsidR="0081319A" w:rsidRDefault="001125A7" w:rsidP="001125A7">
      <w:pPr>
        <w:pStyle w:val="NoSpacing"/>
        <w:ind w:left="720"/>
        <w:jc w:val="both"/>
        <w:rPr>
          <w:szCs w:val="24"/>
        </w:rPr>
      </w:pPr>
      <w:r>
        <w:rPr>
          <w:b/>
          <w:i/>
          <w:szCs w:val="24"/>
        </w:rPr>
        <w:lastRenderedPageBreak/>
        <w:t>Practice Tip</w:t>
      </w:r>
      <w:r w:rsidR="0081319A">
        <w:rPr>
          <w:b/>
          <w:i/>
          <w:szCs w:val="24"/>
        </w:rPr>
        <w:t xml:space="preserve"> #2</w:t>
      </w:r>
      <w:r>
        <w:rPr>
          <w:b/>
          <w:i/>
          <w:szCs w:val="24"/>
        </w:rPr>
        <w:t xml:space="preserve">: </w:t>
      </w:r>
      <w:r w:rsidR="00A62C53">
        <w:rPr>
          <w:rFonts w:cs="Times New Roman"/>
        </w:rPr>
        <w:t xml:space="preserve">The duty to inquire (a.k.a. the duty to interview) is </w:t>
      </w:r>
      <w:r w:rsidR="00A62C53" w:rsidRPr="00A02366">
        <w:rPr>
          <w:rFonts w:cs="Times New Roman"/>
          <w:u w:val="single"/>
        </w:rPr>
        <w:t>enhanced</w:t>
      </w:r>
      <w:r w:rsidR="00A62C53">
        <w:rPr>
          <w:rFonts w:cs="Times New Roman"/>
        </w:rPr>
        <w:t xml:space="preserve"> when (a) no experience is required,</w:t>
      </w:r>
      <w:r w:rsidR="00A329B9">
        <w:rPr>
          <w:rStyle w:val="FootnoteReference"/>
          <w:rFonts w:cs="Times New Roman"/>
        </w:rPr>
        <w:footnoteReference w:id="19"/>
      </w:r>
      <w:r w:rsidR="00A62C53">
        <w:rPr>
          <w:rFonts w:cs="Times New Roman"/>
        </w:rPr>
        <w:t xml:space="preserve"> (b) no special skills are required,</w:t>
      </w:r>
      <w:r w:rsidR="000C76B5">
        <w:rPr>
          <w:rStyle w:val="FootnoteReference"/>
          <w:rFonts w:cs="Times New Roman"/>
        </w:rPr>
        <w:footnoteReference w:id="20"/>
      </w:r>
      <w:r w:rsidR="00A62C53">
        <w:rPr>
          <w:rFonts w:cs="Times New Roman"/>
        </w:rPr>
        <w:t xml:space="preserve"> (c) experience in alternate occupations is acceptable,</w:t>
      </w:r>
      <w:r w:rsidR="000C76B5">
        <w:rPr>
          <w:rStyle w:val="FootnoteReference"/>
          <w:rFonts w:cs="Times New Roman"/>
        </w:rPr>
        <w:footnoteReference w:id="21"/>
      </w:r>
      <w:r w:rsidR="00A62C53">
        <w:rPr>
          <w:rFonts w:cs="Times New Roman"/>
        </w:rPr>
        <w:t xml:space="preserve"> or (d) the Kellogg language is used.</w:t>
      </w:r>
      <w:r w:rsidR="00A329B9">
        <w:rPr>
          <w:rStyle w:val="FootnoteReference"/>
          <w:rFonts w:cs="Times New Roman"/>
        </w:rPr>
        <w:footnoteReference w:id="22"/>
      </w:r>
      <w:r w:rsidR="00A62C53">
        <w:rPr>
          <w:rFonts w:cs="Times New Roman"/>
        </w:rPr>
        <w:t xml:space="preserve">   Moreover, in each of these situations</w:t>
      </w:r>
      <w:r w:rsidR="0081319A">
        <w:rPr>
          <w:szCs w:val="24"/>
        </w:rPr>
        <w:t xml:space="preserve">, an inability to perform the job duties given in </w:t>
      </w:r>
      <w:r>
        <w:rPr>
          <w:szCs w:val="24"/>
        </w:rPr>
        <w:t>Section H.11 can</w:t>
      </w:r>
      <w:r w:rsidR="0081319A">
        <w:rPr>
          <w:szCs w:val="24"/>
        </w:rPr>
        <w:t>not</w:t>
      </w:r>
      <w:r>
        <w:rPr>
          <w:szCs w:val="24"/>
        </w:rPr>
        <w:t xml:space="preserve"> be </w:t>
      </w:r>
      <w:r w:rsidR="0081319A">
        <w:rPr>
          <w:szCs w:val="24"/>
        </w:rPr>
        <w:t>cited as a basis for</w:t>
      </w:r>
      <w:r>
        <w:rPr>
          <w:szCs w:val="24"/>
        </w:rPr>
        <w:t xml:space="preserve"> reject</w:t>
      </w:r>
      <w:r w:rsidR="0081319A">
        <w:rPr>
          <w:szCs w:val="24"/>
        </w:rPr>
        <w:t>ing</w:t>
      </w:r>
      <w:r>
        <w:rPr>
          <w:szCs w:val="24"/>
        </w:rPr>
        <w:t xml:space="preserve"> applicants</w:t>
      </w:r>
      <w:r w:rsidR="00A62C53">
        <w:rPr>
          <w:szCs w:val="24"/>
        </w:rPr>
        <w:t xml:space="preserve">. </w:t>
      </w:r>
      <w:r>
        <w:rPr>
          <w:szCs w:val="24"/>
        </w:rPr>
        <w:t xml:space="preserve"> </w:t>
      </w:r>
      <w:r w:rsidR="00A62C53">
        <w:rPr>
          <w:szCs w:val="24"/>
        </w:rPr>
        <w:t>As a minimum, the</w:t>
      </w:r>
      <w:r>
        <w:rPr>
          <w:szCs w:val="24"/>
        </w:rPr>
        <w:t>s</w:t>
      </w:r>
      <w:r w:rsidR="00A62C53">
        <w:rPr>
          <w:szCs w:val="24"/>
        </w:rPr>
        <w:t>e factors enhance an employer’s duty to interview a broad range of</w:t>
      </w:r>
      <w:r>
        <w:rPr>
          <w:szCs w:val="24"/>
        </w:rPr>
        <w:t xml:space="preserve"> applicant</w:t>
      </w:r>
      <w:r w:rsidR="00A62C53">
        <w:rPr>
          <w:szCs w:val="24"/>
        </w:rPr>
        <w:t>s</w:t>
      </w:r>
      <w:r>
        <w:rPr>
          <w:szCs w:val="24"/>
        </w:rPr>
        <w:t xml:space="preserve"> to verify their qualifications vis-à-vis the job requirements, and provide a thorough explanation of the basis for disqualification. </w:t>
      </w:r>
    </w:p>
    <w:p w14:paraId="3EB39306" w14:textId="77777777" w:rsidR="0081319A" w:rsidRDefault="0081319A" w:rsidP="001125A7">
      <w:pPr>
        <w:pStyle w:val="NoSpacing"/>
        <w:ind w:left="720"/>
        <w:jc w:val="both"/>
        <w:rPr>
          <w:szCs w:val="24"/>
        </w:rPr>
      </w:pPr>
    </w:p>
    <w:p w14:paraId="406B4D17" w14:textId="5639DBBD" w:rsidR="001125A7" w:rsidRPr="00CA116E" w:rsidRDefault="0081319A" w:rsidP="001125A7">
      <w:pPr>
        <w:pStyle w:val="NoSpacing"/>
        <w:ind w:left="720"/>
        <w:jc w:val="both"/>
        <w:rPr>
          <w:rFonts w:cs="Times New Roman"/>
        </w:rPr>
      </w:pPr>
      <w:r>
        <w:rPr>
          <w:b/>
          <w:i/>
          <w:szCs w:val="24"/>
        </w:rPr>
        <w:t xml:space="preserve">Practice Tip #3:   </w:t>
      </w:r>
      <w:r>
        <w:rPr>
          <w:szCs w:val="24"/>
        </w:rPr>
        <w:t>N</w:t>
      </w:r>
      <w:r w:rsidR="001125A7">
        <w:rPr>
          <w:szCs w:val="24"/>
        </w:rPr>
        <w:t>either “overqualified” nor “excessive salary demanded” are acceptable bases for disqualifying an otherwise qualified U.S. applicant; the unwillingness/unavailability of a qualified applicant must be scrupulously documented in the recruitment documentation.</w:t>
      </w:r>
      <w:r w:rsidR="00FF32FE">
        <w:rPr>
          <w:rStyle w:val="FootnoteReference"/>
          <w:szCs w:val="24"/>
        </w:rPr>
        <w:footnoteReference w:id="23"/>
      </w:r>
      <w:r w:rsidR="001125A7">
        <w:rPr>
          <w:szCs w:val="24"/>
        </w:rPr>
        <w:t xml:space="preserve"> </w:t>
      </w:r>
      <w:r>
        <w:rPr>
          <w:szCs w:val="24"/>
        </w:rPr>
        <w:t xml:space="preserve"> </w:t>
      </w:r>
    </w:p>
    <w:p w14:paraId="1B6E7C02" w14:textId="73D4FEE3" w:rsidR="001125A7" w:rsidRDefault="001125A7" w:rsidP="0081319A">
      <w:pPr>
        <w:pStyle w:val="NoSpacing"/>
        <w:jc w:val="both"/>
        <w:rPr>
          <w:rFonts w:cs="Times New Roman"/>
        </w:rPr>
      </w:pPr>
    </w:p>
    <w:p w14:paraId="7F159629" w14:textId="2C85DFA7" w:rsidR="001125A7" w:rsidRPr="00632679" w:rsidRDefault="0081319A" w:rsidP="00A62C53">
      <w:pPr>
        <w:pStyle w:val="NoSpacing"/>
        <w:ind w:left="720"/>
        <w:jc w:val="both"/>
        <w:rPr>
          <w:rFonts w:cs="Times New Roman"/>
        </w:rPr>
      </w:pPr>
      <w:r>
        <w:rPr>
          <w:rFonts w:cs="Times New Roman"/>
          <w:b/>
          <w:i/>
        </w:rPr>
        <w:t>Practice Tip #4</w:t>
      </w:r>
      <w:r w:rsidR="001125A7">
        <w:rPr>
          <w:rFonts w:cs="Times New Roman"/>
          <w:b/>
          <w:i/>
        </w:rPr>
        <w:t xml:space="preserve">: </w:t>
      </w:r>
      <w:r w:rsidR="001125A7">
        <w:rPr>
          <w:rFonts w:cs="Times New Roman"/>
        </w:rPr>
        <w:t>When drafting job duties and job requirements for a PERM application, the best practice should be to assume that the recruitment will produce an applicant with related education and many years of experience, not necessarily all of i</w:t>
      </w:r>
      <w:r w:rsidR="00804C39">
        <w:rPr>
          <w:rFonts w:cs="Times New Roman"/>
        </w:rPr>
        <w:t>t relevant to the position.  A</w:t>
      </w:r>
      <w:r w:rsidR="001125A7">
        <w:rPr>
          <w:rFonts w:cs="Times New Roman"/>
        </w:rPr>
        <w:t xml:space="preserve"> crucial question to ask when drafting is whether the job specification is robust enough (e.g., whether the required skills are substantial enough that they could not be gained through a reasonable period of on the job training) to serve as justifiable grounds for disqualification.  </w:t>
      </w:r>
      <w:r w:rsidR="00FF32FE">
        <w:rPr>
          <w:rFonts w:cs="Times New Roman"/>
        </w:rPr>
        <w:t xml:space="preserve">Subjective terms should be avoided when drafting job </w:t>
      </w:r>
      <w:r w:rsidR="003E30D2">
        <w:rPr>
          <w:rFonts w:cs="Times New Roman"/>
        </w:rPr>
        <w:t>requirements.</w:t>
      </w:r>
    </w:p>
    <w:p w14:paraId="2501D940" w14:textId="7BE062DB" w:rsidR="001125A7" w:rsidRPr="00FA04B3" w:rsidRDefault="001125A7" w:rsidP="00FA04B3">
      <w:pPr>
        <w:widowControl w:val="0"/>
        <w:autoSpaceDE w:val="0"/>
        <w:autoSpaceDN w:val="0"/>
        <w:adjustRightInd w:val="0"/>
        <w:jc w:val="both"/>
        <w:rPr>
          <w:rFonts w:ascii="Times New Roman" w:hAnsi="Times New Roman" w:cs="Times New Roman"/>
        </w:rPr>
      </w:pPr>
    </w:p>
    <w:p w14:paraId="2A72EB34" w14:textId="0B223430" w:rsidR="00F9635B" w:rsidRDefault="00C46818" w:rsidP="004208A8">
      <w:pPr>
        <w:pStyle w:val="NoSpacing"/>
        <w:jc w:val="both"/>
      </w:pPr>
      <w:r>
        <w:t>Fin</w:t>
      </w:r>
      <w:r w:rsidR="00A329B9">
        <w:t>ally, BALCA has reversed denial in at least one case</w:t>
      </w:r>
      <w:r>
        <w:t xml:space="preserve"> where the employer provided a thorough and convincing argument that the applicant’s experience was not relevant or appropriate t</w:t>
      </w:r>
      <w:r w:rsidR="00A329B9">
        <w:t>o the job being offered, and that decision is</w:t>
      </w:r>
      <w:r>
        <w:t xml:space="preserve"> worth careful review.</w:t>
      </w:r>
      <w:r>
        <w:rPr>
          <w:rStyle w:val="FootnoteReference"/>
        </w:rPr>
        <w:footnoteReference w:id="24"/>
      </w:r>
      <w:r>
        <w:t xml:space="preserve"> </w:t>
      </w:r>
    </w:p>
    <w:p w14:paraId="3A38D68D" w14:textId="318BB325" w:rsidR="004F6070" w:rsidRDefault="004F6070" w:rsidP="004208A8">
      <w:pPr>
        <w:pStyle w:val="NoSpacing"/>
        <w:jc w:val="both"/>
      </w:pPr>
    </w:p>
    <w:p w14:paraId="576456B3" w14:textId="77777777" w:rsidR="004F6070" w:rsidRDefault="004F6070" w:rsidP="004208A8">
      <w:pPr>
        <w:pStyle w:val="NoSpacing"/>
        <w:jc w:val="both"/>
      </w:pPr>
    </w:p>
    <w:p w14:paraId="5C1E4234" w14:textId="157AAAB8" w:rsidR="00B06473" w:rsidRDefault="00B06473" w:rsidP="00B06473">
      <w:pPr>
        <w:jc w:val="both"/>
        <w:rPr>
          <w:rFonts w:ascii="Times New Roman" w:hAnsi="Times New Roman" w:cs="Times New Roman"/>
          <w:sz w:val="22"/>
          <w:szCs w:val="22"/>
        </w:rPr>
      </w:pPr>
    </w:p>
    <w:p w14:paraId="1DF40660" w14:textId="3819AD47" w:rsidR="00B06473" w:rsidRPr="00FE20C2" w:rsidRDefault="00FE20C2" w:rsidP="004F6070">
      <w:pPr>
        <w:jc w:val="center"/>
        <w:rPr>
          <w:rFonts w:ascii="Times New Roman" w:hAnsi="Times New Roman" w:cs="Times New Roman"/>
          <w:b/>
        </w:rPr>
      </w:pPr>
      <w:r w:rsidRPr="00FE20C2">
        <w:rPr>
          <w:rFonts w:ascii="Times New Roman" w:hAnsi="Times New Roman" w:cs="Times New Roman"/>
          <w:b/>
        </w:rPr>
        <w:t>NOTEWORTHY BALCA DECISIONS ISSUED DURING 3Q2017</w:t>
      </w:r>
    </w:p>
    <w:p w14:paraId="19C3E884" w14:textId="77777777" w:rsidR="00FE20C2" w:rsidRDefault="00FE20C2" w:rsidP="00B06473">
      <w:pPr>
        <w:jc w:val="both"/>
        <w:rPr>
          <w:rFonts w:ascii="Times New Roman" w:hAnsi="Times New Roman" w:cs="Times New Roman"/>
          <w:sz w:val="22"/>
          <w:szCs w:val="22"/>
        </w:rPr>
      </w:pPr>
    </w:p>
    <w:p w14:paraId="0FDEB49D" w14:textId="15D83ABE" w:rsidR="00B06473" w:rsidRDefault="00B06473" w:rsidP="00B06473">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center"/>
        <w:rPr>
          <w:rFonts w:ascii="Times New Roman" w:hAnsi="Times New Roman" w:cs="Times New Roman"/>
          <w:b/>
          <w:color w:val="444444"/>
        </w:rPr>
      </w:pPr>
      <w:r>
        <w:rPr>
          <w:rFonts w:ascii="Times New Roman" w:hAnsi="Times New Roman" w:cs="Times New Roman"/>
          <w:b/>
          <w:color w:val="444444"/>
        </w:rPr>
        <w:t xml:space="preserve">THE CO WAIVES ALTERNATE GROUNDS FOR DENIAL </w:t>
      </w:r>
    </w:p>
    <w:p w14:paraId="6DC397D7" w14:textId="5C17FCBF" w:rsidR="00B06473" w:rsidRDefault="00B06473" w:rsidP="00B06473">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center"/>
        <w:rPr>
          <w:rFonts w:ascii="Times New Roman" w:hAnsi="Times New Roman" w:cs="Times New Roman"/>
          <w:b/>
          <w:color w:val="444444"/>
        </w:rPr>
      </w:pPr>
      <w:r>
        <w:rPr>
          <w:rFonts w:ascii="Times New Roman" w:hAnsi="Times New Roman" w:cs="Times New Roman"/>
          <w:b/>
          <w:color w:val="444444"/>
        </w:rPr>
        <w:t xml:space="preserve">THAT ARE NOT </w:t>
      </w:r>
      <w:r w:rsidR="00FE20C2">
        <w:rPr>
          <w:rFonts w:ascii="Times New Roman" w:hAnsi="Times New Roman" w:cs="Times New Roman"/>
          <w:b/>
          <w:color w:val="444444"/>
        </w:rPr>
        <w:t xml:space="preserve">SPECIFICALLY </w:t>
      </w:r>
      <w:r>
        <w:rPr>
          <w:rFonts w:ascii="Times New Roman" w:hAnsi="Times New Roman" w:cs="Times New Roman"/>
          <w:b/>
          <w:color w:val="444444"/>
        </w:rPr>
        <w:t xml:space="preserve">CITED </w:t>
      </w:r>
    </w:p>
    <w:p w14:paraId="03A504C7" w14:textId="77777777" w:rsidR="00B06473"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b/>
          <w:color w:val="444444"/>
        </w:rPr>
      </w:pPr>
    </w:p>
    <w:p w14:paraId="6CB4E888" w14:textId="0E8752BD" w:rsidR="00B06473" w:rsidRPr="00DF721A"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i/>
        </w:rPr>
      </w:pPr>
      <w:r>
        <w:rPr>
          <w:rFonts w:ascii="Times New Roman" w:hAnsi="Times New Roman" w:cs="Times New Roman"/>
          <w:i/>
        </w:rPr>
        <w:t xml:space="preserve">Matter of </w:t>
      </w:r>
      <w:proofErr w:type="spellStart"/>
      <w:r>
        <w:rPr>
          <w:rFonts w:ascii="Times New Roman" w:hAnsi="Times New Roman" w:cs="Times New Roman"/>
          <w:i/>
        </w:rPr>
        <w:t>Systime</w:t>
      </w:r>
      <w:proofErr w:type="spellEnd"/>
      <w:r>
        <w:rPr>
          <w:rFonts w:ascii="Times New Roman" w:hAnsi="Times New Roman" w:cs="Times New Roman"/>
          <w:i/>
        </w:rPr>
        <w:t xml:space="preserve"> Computer Corp.</w:t>
      </w:r>
      <w:r w:rsidR="00853B2E">
        <w:rPr>
          <w:rStyle w:val="FootnoteReference"/>
          <w:rFonts w:ascii="Times New Roman" w:hAnsi="Times New Roman" w:cs="Times New Roman"/>
          <w:i/>
        </w:rPr>
        <w:footnoteReference w:id="25"/>
      </w:r>
      <w:r>
        <w:rPr>
          <w:rFonts w:ascii="Times New Roman" w:hAnsi="Times New Roman" w:cs="Times New Roman"/>
          <w:i/>
        </w:rPr>
        <w:t xml:space="preserve"> – </w:t>
      </w:r>
      <w:r>
        <w:rPr>
          <w:rFonts w:ascii="Times New Roman" w:hAnsi="Times New Roman" w:cs="Times New Roman"/>
        </w:rPr>
        <w:t xml:space="preserve">denial of </w:t>
      </w:r>
      <w:r w:rsidRPr="00977B62">
        <w:rPr>
          <w:rFonts w:ascii="Times New Roman" w:hAnsi="Times New Roman" w:cs="Times New Roman"/>
        </w:rPr>
        <w:t xml:space="preserve">certification </w:t>
      </w:r>
      <w:r>
        <w:rPr>
          <w:rFonts w:ascii="Times New Roman" w:hAnsi="Times New Roman" w:cs="Times New Roman"/>
        </w:rPr>
        <w:t xml:space="preserve">reversed </w:t>
      </w:r>
      <w:r w:rsidRPr="00977B62">
        <w:rPr>
          <w:rFonts w:ascii="Times New Roman" w:hAnsi="Times New Roman" w:cs="Times New Roman"/>
        </w:rPr>
        <w:t>for a Computer Software Engineer,</w:t>
      </w:r>
      <w:r>
        <w:rPr>
          <w:rFonts w:ascii="Times New Roman" w:hAnsi="Times New Roman" w:cs="Times New Roman"/>
        </w:rPr>
        <w:t xml:space="preserve"> Applications</w:t>
      </w:r>
      <w:r w:rsidRPr="00977B62">
        <w:rPr>
          <w:rFonts w:ascii="Times New Roman" w:hAnsi="Times New Roman" w:cs="Times New Roman"/>
        </w:rPr>
        <w:t xml:space="preserve">. The employer indicated the job opportunity required a BS degree and 24 months of experience on the Form 9089. It also listed a myriad of alternate ways a person could qualify for the job opportunity – e.g., “a combination of degrees, diplomas, and experience equivalent to a Bachelor’s degree and 24 months of experience.”  The CO relied on 20 CFR §§ 656.10(c)8, 656.10(c)(9), and 656.24(b)(2) to justify denial alleging the employer did not include the alternate requirements in any of the recruitment. BALCA reversed and held “to prevail upon review a CO must accurately and with specificity identify the provision(s) of Part 656 with which the employer has not complied, and explain </w:t>
      </w:r>
      <w:r w:rsidR="008E7BC3">
        <w:rPr>
          <w:rFonts w:ascii="Times New Roman" w:hAnsi="Times New Roman" w:cs="Times New Roman"/>
        </w:rPr>
        <w:t>why</w:t>
      </w:r>
      <w:r w:rsidR="008E7BC3" w:rsidRPr="00977B62">
        <w:rPr>
          <w:rFonts w:ascii="Times New Roman" w:hAnsi="Times New Roman" w:cs="Times New Roman"/>
        </w:rPr>
        <w:t xml:space="preserve"> </w:t>
      </w:r>
      <w:r w:rsidRPr="00977B62">
        <w:rPr>
          <w:rFonts w:ascii="Times New Roman" w:hAnsi="Times New Roman" w:cs="Times New Roman"/>
        </w:rPr>
        <w:t>that non-compliance justifies denial of the application by reference to one or more of the bases listed in § 656.24(b).”</w:t>
      </w:r>
      <w:r>
        <w:rPr>
          <w:rFonts w:ascii="Times New Roman" w:hAnsi="Times New Roman" w:cs="Times New Roman"/>
        </w:rPr>
        <w:t xml:space="preserve"> </w:t>
      </w:r>
      <w:r w:rsidRPr="00B06473">
        <w:rPr>
          <w:rFonts w:ascii="Times New Roman" w:hAnsi="Times New Roman" w:cs="Times New Roman"/>
          <w:u w:val="single"/>
        </w:rPr>
        <w:t>BALCA reminded the CO that it must rely on the correct provision of law when denying an employer’s labor certification application.</w:t>
      </w:r>
      <w:r w:rsidRPr="00977B62">
        <w:rPr>
          <w:rFonts w:ascii="Times New Roman" w:hAnsi="Times New Roman" w:cs="Times New Roman"/>
        </w:rPr>
        <w:t xml:space="preserve"> The CO cited 20 CFR §§ 656.10(c)(8) and (c) (9) as grounds for denial which require an employer to attest that the job opportunity “has been clearly open to any U.S. worker” and that any “U.S. workers who applied for the job opportunity were rejected for lawful job-related reasons”, respectively. The CO also cited 20 CFR § 656.24(b)(2) which deals with college or university teachers as a ground for denial. In the instant case, there were no applicants and the job opportunity was not for a college or university teacher. Therefore, BALCA dismissed the CO’s reliance on 20 CFR § 656.10(c)(9) and § 656.24(b)(2) as valid reasons for denial. The panel then noted that “the relevant inquiry under 656.10(c)(8) is whether the employer’s job search website advertisements and job order ‘so misinformed, or so failed to inform, potential applicants about the job opportunity that the recruitment did not support the Employer’s attestation that the job opportunity was clearly open to any U.S. worker’.”</w:t>
      </w:r>
    </w:p>
    <w:p w14:paraId="7349A9FB" w14:textId="77777777" w:rsidR="00B06473"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i/>
        </w:rPr>
      </w:pPr>
    </w:p>
    <w:p w14:paraId="6C0AF6B2" w14:textId="0A3050A3" w:rsidR="00B06473"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i/>
        </w:rPr>
      </w:pPr>
      <w:r>
        <w:rPr>
          <w:rFonts w:ascii="Times New Roman" w:hAnsi="Times New Roman" w:cs="Times New Roman"/>
          <w:i/>
        </w:rPr>
        <w:t xml:space="preserve">Matter of </w:t>
      </w:r>
      <w:proofErr w:type="spellStart"/>
      <w:r w:rsidRPr="00295191">
        <w:rPr>
          <w:rFonts w:ascii="Times New Roman" w:hAnsi="Times New Roman" w:cs="Times New Roman"/>
          <w:i/>
        </w:rPr>
        <w:t>Infoexperts</w:t>
      </w:r>
      <w:proofErr w:type="spellEnd"/>
      <w:r w:rsidR="00853B2E">
        <w:rPr>
          <w:rStyle w:val="FootnoteReference"/>
          <w:rFonts w:ascii="Times New Roman" w:hAnsi="Times New Roman" w:cs="Times New Roman"/>
          <w:i/>
        </w:rPr>
        <w:footnoteReference w:id="26"/>
      </w:r>
      <w:r w:rsidRPr="00977B62">
        <w:rPr>
          <w:rFonts w:ascii="Times New Roman" w:hAnsi="Times New Roman" w:cs="Times New Roman"/>
        </w:rPr>
        <w:t xml:space="preserve"> – </w:t>
      </w:r>
      <w:r>
        <w:rPr>
          <w:rFonts w:ascii="Times New Roman" w:hAnsi="Times New Roman" w:cs="Times New Roman"/>
        </w:rPr>
        <w:t xml:space="preserve">denial of </w:t>
      </w:r>
      <w:r w:rsidRPr="00977B62">
        <w:rPr>
          <w:rFonts w:ascii="Times New Roman" w:hAnsi="Times New Roman" w:cs="Times New Roman"/>
        </w:rPr>
        <w:t xml:space="preserve">certification </w:t>
      </w:r>
      <w:r>
        <w:rPr>
          <w:rFonts w:ascii="Times New Roman" w:hAnsi="Times New Roman" w:cs="Times New Roman"/>
        </w:rPr>
        <w:t>reversed</w:t>
      </w:r>
      <w:r w:rsidRPr="00977B62">
        <w:rPr>
          <w:rFonts w:ascii="Times New Roman" w:hAnsi="Times New Roman" w:cs="Times New Roman"/>
        </w:rPr>
        <w:t xml:space="preserve"> for a Network and Computer Systems Administrator. The CO listed several grounds to support the denial – all of which were reversed. Two grounds were based on the recruitment report, one was based on the job order, and one was based on the prevailing wage request. Regarding the recruitment report, the CO denied the application because the employer failed “to provide the results </w:t>
      </w:r>
      <w:r w:rsidRPr="00977B62">
        <w:rPr>
          <w:rFonts w:ascii="Times New Roman" w:hAnsi="Times New Roman" w:cs="Times New Roman"/>
        </w:rPr>
        <w:lastRenderedPageBreak/>
        <w:t>achieved, the number of hires, and the number of U.S. workers rejected, categorized by the lawful job-related reasons for such rejections.” In its request for reconsideration, the employer provided supplemental evidence indicating the that none of the applicants possessed the required degree or experience</w:t>
      </w:r>
      <w:r>
        <w:rPr>
          <w:rFonts w:ascii="Times New Roman" w:hAnsi="Times New Roman" w:cs="Times New Roman"/>
        </w:rPr>
        <w:t xml:space="preserve"> and t</w:t>
      </w:r>
      <w:r w:rsidRPr="00977B62">
        <w:rPr>
          <w:rFonts w:ascii="Times New Roman" w:hAnsi="Times New Roman" w:cs="Times New Roman"/>
        </w:rPr>
        <w:t>he CO did not challenge the documentation submitted by the employer on reconsideration. Regarding the job order, the CO erroneously cited 20 CFR § 656.17(f)(6) and denied the application because the State Workforce Agency contained a “</w:t>
      </w:r>
      <w:r w:rsidRPr="00977B62">
        <w:rPr>
          <w:rFonts w:ascii="Times New Roman" w:hAnsi="Times New Roman" w:cs="Times New Roman"/>
          <w:i/>
        </w:rPr>
        <w:t>veterans only</w:t>
      </w:r>
      <w:r w:rsidRPr="00977B62">
        <w:rPr>
          <w:rFonts w:ascii="Times New Roman" w:hAnsi="Times New Roman" w:cs="Times New Roman"/>
        </w:rPr>
        <w:t xml:space="preserve">” requirement. And since 20 CFR § 656.17(f)(6) applies only to advertisements in newspapers of general circulation or professional journals - and not job orders </w:t>
      </w:r>
      <w:r w:rsidR="005771CB">
        <w:rPr>
          <w:rFonts w:ascii="Times New Roman" w:hAnsi="Times New Roman" w:cs="Times New Roman"/>
        </w:rPr>
        <w:t>–</w:t>
      </w:r>
      <w:r w:rsidRPr="00977B62">
        <w:rPr>
          <w:rFonts w:ascii="Times New Roman" w:hAnsi="Times New Roman" w:cs="Times New Roman"/>
        </w:rPr>
        <w:t xml:space="preserve"> </w:t>
      </w:r>
      <w:r w:rsidR="005771CB">
        <w:rPr>
          <w:rFonts w:ascii="Times New Roman" w:hAnsi="Times New Roman" w:cs="Times New Roman"/>
        </w:rPr>
        <w:t xml:space="preserve">the panel </w:t>
      </w:r>
      <w:r w:rsidRPr="00977B62">
        <w:rPr>
          <w:rFonts w:ascii="Times New Roman" w:hAnsi="Times New Roman" w:cs="Times New Roman"/>
        </w:rPr>
        <w:t>held “</w:t>
      </w:r>
      <w:r w:rsidRPr="00977B62">
        <w:rPr>
          <w:rFonts w:ascii="Times New Roman" w:hAnsi="Times New Roman" w:cs="Times New Roman"/>
          <w:i/>
        </w:rPr>
        <w:t>the stated ground for denial does not support denial of certification in this case</w:t>
      </w:r>
      <w:r w:rsidRPr="00977B62">
        <w:rPr>
          <w:rFonts w:ascii="Times New Roman" w:hAnsi="Times New Roman" w:cs="Times New Roman"/>
        </w:rPr>
        <w:t>.” Lastly, the CO relied on 20 CFR §§ 656.40-41 and denied the application on the ground that the prevailing wage determination request included a travel requirement which was not included on the ETA Form 9089. Citing IBM Corp., 2011-PER-02838 (Jan. 13, 2014), BALCA found that the CO erroneously “</w:t>
      </w:r>
      <w:r w:rsidRPr="00977B62">
        <w:rPr>
          <w:rFonts w:ascii="Times New Roman" w:hAnsi="Times New Roman" w:cs="Times New Roman"/>
          <w:i/>
        </w:rPr>
        <w:t>relied on regulatory provisions that do not provide content requirements</w:t>
      </w:r>
      <w:r w:rsidRPr="00977B62">
        <w:rPr>
          <w:rFonts w:ascii="Times New Roman" w:hAnsi="Times New Roman" w:cs="Times New Roman"/>
        </w:rPr>
        <w:t>.”</w:t>
      </w:r>
    </w:p>
    <w:p w14:paraId="7BA6F5E2" w14:textId="77777777" w:rsidR="00B06473"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i/>
        </w:rPr>
      </w:pPr>
    </w:p>
    <w:p w14:paraId="4F33DC9B" w14:textId="32471209" w:rsidR="00B06473" w:rsidRPr="008A0A88" w:rsidRDefault="00B06473" w:rsidP="0050790A">
      <w:pPr>
        <w:pBdr>
          <w:top w:val="single" w:sz="18" w:space="1" w:color="auto"/>
          <w:left w:val="single" w:sz="18" w:space="4" w:color="auto"/>
          <w:bottom w:val="single" w:sz="18" w:space="3" w:color="auto"/>
          <w:right w:val="single" w:sz="18" w:space="4" w:color="auto"/>
        </w:pBdr>
        <w:shd w:val="pct10" w:color="auto" w:fill="auto"/>
        <w:autoSpaceDE w:val="0"/>
        <w:autoSpaceDN w:val="0"/>
        <w:adjustRightInd w:val="0"/>
        <w:jc w:val="both"/>
        <w:rPr>
          <w:rFonts w:ascii="Times New Roman" w:hAnsi="Times New Roman" w:cs="Times New Roman"/>
          <w:b/>
          <w:color w:val="444444"/>
        </w:rPr>
      </w:pPr>
      <w:r w:rsidRPr="00DA4D9B">
        <w:rPr>
          <w:rFonts w:ascii="Times New Roman" w:hAnsi="Times New Roman" w:cs="Times New Roman"/>
          <w:i/>
        </w:rPr>
        <w:t>Matter of Hyun-Soo Lee, MD, P.A.,</w:t>
      </w:r>
      <w:r w:rsidR="00853B2E">
        <w:rPr>
          <w:rStyle w:val="FootnoteReference"/>
          <w:rFonts w:ascii="Times New Roman" w:hAnsi="Times New Roman" w:cs="Times New Roman"/>
          <w:i/>
        </w:rPr>
        <w:footnoteReference w:id="27"/>
      </w:r>
      <w:r w:rsidRPr="00977B62">
        <w:rPr>
          <w:rFonts w:ascii="Times New Roman" w:hAnsi="Times New Roman" w:cs="Times New Roman"/>
        </w:rPr>
        <w:t xml:space="preserve"> – </w:t>
      </w:r>
      <w:r>
        <w:rPr>
          <w:rFonts w:ascii="Times New Roman" w:hAnsi="Times New Roman" w:cs="Times New Roman"/>
        </w:rPr>
        <w:t xml:space="preserve">denial of </w:t>
      </w:r>
      <w:r w:rsidRPr="00977B62">
        <w:rPr>
          <w:rFonts w:ascii="Times New Roman" w:hAnsi="Times New Roman" w:cs="Times New Roman"/>
        </w:rPr>
        <w:t xml:space="preserve">certification was </w:t>
      </w:r>
      <w:r>
        <w:rPr>
          <w:rFonts w:ascii="Times New Roman" w:hAnsi="Times New Roman" w:cs="Times New Roman"/>
        </w:rPr>
        <w:t>reversed</w:t>
      </w:r>
      <w:r w:rsidRPr="00977B62">
        <w:rPr>
          <w:rFonts w:ascii="Times New Roman" w:hAnsi="Times New Roman" w:cs="Times New Roman"/>
        </w:rPr>
        <w:t xml:space="preserve"> for a Medical Assistant </w:t>
      </w:r>
      <w:r>
        <w:rPr>
          <w:rFonts w:ascii="Times New Roman" w:hAnsi="Times New Roman" w:cs="Times New Roman"/>
        </w:rPr>
        <w:t>position</w:t>
      </w:r>
      <w:r w:rsidRPr="00977B62">
        <w:rPr>
          <w:rFonts w:ascii="Times New Roman" w:hAnsi="Times New Roman" w:cs="Times New Roman"/>
        </w:rPr>
        <w:t xml:space="preserve">. The audit requested proof that the employer’s Notice of Filing was posted for ten (10) consecutive business days and if one or more of the consecutive business days was a weekend or holiday, evidence showing it was open on such days. In response to the audit, the employer provided a signed sworn statement indicating the Notice of Filing was posted for 10-consecutive business days; specifically, from July 1, 2010 to July 14, 2010. The employer </w:t>
      </w:r>
      <w:r>
        <w:rPr>
          <w:rFonts w:ascii="Times New Roman" w:hAnsi="Times New Roman" w:cs="Times New Roman"/>
        </w:rPr>
        <w:t xml:space="preserve">failed to </w:t>
      </w:r>
      <w:r w:rsidRPr="00977B62">
        <w:rPr>
          <w:rFonts w:ascii="Times New Roman" w:hAnsi="Times New Roman" w:cs="Times New Roman"/>
        </w:rPr>
        <w:t>provide proof that it was open during any weekends and/or holidays with their response as requested in the audit. The CO denied the application asserting that July 5, 2010 was a Federal Holiday (Independence Day Observed)</w:t>
      </w:r>
      <w:r w:rsidR="005771CB">
        <w:rPr>
          <w:rFonts w:ascii="Times New Roman" w:hAnsi="Times New Roman" w:cs="Times New Roman"/>
        </w:rPr>
        <w:t>,</w:t>
      </w:r>
      <w:r w:rsidRPr="00977B62">
        <w:rPr>
          <w:rFonts w:ascii="Times New Roman" w:hAnsi="Times New Roman" w:cs="Times New Roman"/>
        </w:rPr>
        <w:t xml:space="preserve"> and</w:t>
      </w:r>
      <w:r w:rsidR="005771CB">
        <w:rPr>
          <w:rFonts w:ascii="Times New Roman" w:hAnsi="Times New Roman" w:cs="Times New Roman"/>
        </w:rPr>
        <w:t xml:space="preserve"> since</w:t>
      </w:r>
      <w:r w:rsidRPr="00977B62">
        <w:rPr>
          <w:rFonts w:ascii="Times New Roman" w:hAnsi="Times New Roman" w:cs="Times New Roman"/>
        </w:rPr>
        <w:t xml:space="preserve"> the employer did not provide evidence to show they were open on any weekends or holidays during the required posting period</w:t>
      </w:r>
      <w:r w:rsidR="005771CB">
        <w:rPr>
          <w:rFonts w:ascii="Times New Roman" w:hAnsi="Times New Roman" w:cs="Times New Roman"/>
        </w:rPr>
        <w:t xml:space="preserve">, </w:t>
      </w:r>
      <w:r w:rsidRPr="00977B62">
        <w:rPr>
          <w:rFonts w:ascii="Times New Roman" w:hAnsi="Times New Roman" w:cs="Times New Roman"/>
        </w:rPr>
        <w:t xml:space="preserve">concluded </w:t>
      </w:r>
      <w:r>
        <w:rPr>
          <w:rFonts w:ascii="Times New Roman" w:hAnsi="Times New Roman" w:cs="Times New Roman"/>
        </w:rPr>
        <w:t xml:space="preserve">that </w:t>
      </w:r>
      <w:r w:rsidRPr="00977B62">
        <w:rPr>
          <w:rFonts w:ascii="Times New Roman" w:hAnsi="Times New Roman" w:cs="Times New Roman"/>
        </w:rPr>
        <w:t xml:space="preserve">the Notice of Filing was posted for only nine (9) consecutive business days </w:t>
      </w:r>
      <w:r>
        <w:rPr>
          <w:rFonts w:ascii="Times New Roman" w:hAnsi="Times New Roman" w:cs="Times New Roman"/>
        </w:rPr>
        <w:t>citing</w:t>
      </w:r>
      <w:r w:rsidRPr="00977B62">
        <w:rPr>
          <w:rFonts w:ascii="Times New Roman" w:hAnsi="Times New Roman" w:cs="Times New Roman"/>
        </w:rPr>
        <w:t xml:space="preserve"> 20 CFR § 656.10(d)(1)(ii) as the basis for denial.  BALCA reversed the denial because the legal reason cited by the CO, i.e., 20 CFR § 656.10(d)(1)(ii), does not require the employer to maintain or submit proof that they were open on any weekends or holidays during the required posting period. </w:t>
      </w:r>
    </w:p>
    <w:p w14:paraId="13A309BE" w14:textId="77777777" w:rsidR="00B06473" w:rsidRDefault="00B06473" w:rsidP="00B06473">
      <w:pPr>
        <w:pStyle w:val="NoSpacing"/>
        <w:rPr>
          <w:rFonts w:cs="Times New Roman"/>
          <w:szCs w:val="24"/>
        </w:rPr>
      </w:pPr>
    </w:p>
    <w:p w14:paraId="70B972EC" w14:textId="188158AD" w:rsidR="00B06473" w:rsidRPr="000F48FE" w:rsidRDefault="00B06473" w:rsidP="00B06473">
      <w:pPr>
        <w:pStyle w:val="NoSpacing"/>
        <w:rPr>
          <w:rFonts w:asciiTheme="minorHAnsi" w:hAnsiTheme="minorHAnsi"/>
          <w:sz w:val="22"/>
        </w:rPr>
      </w:pPr>
      <w:r>
        <w:rPr>
          <w:rFonts w:cs="Times New Roman"/>
          <w:b/>
          <w:i/>
          <w:szCs w:val="24"/>
        </w:rPr>
        <w:t xml:space="preserve">Comment: </w:t>
      </w:r>
      <w:r w:rsidR="00CF3352">
        <w:rPr>
          <w:rFonts w:cs="Times New Roman"/>
          <w:szCs w:val="24"/>
        </w:rPr>
        <w:t>These</w:t>
      </w:r>
      <w:r w:rsidRPr="00977B62">
        <w:rPr>
          <w:rFonts w:cs="Times New Roman"/>
          <w:szCs w:val="24"/>
        </w:rPr>
        <w:t xml:space="preserve"> case</w:t>
      </w:r>
      <w:r w:rsidR="00CF3352">
        <w:rPr>
          <w:rFonts w:cs="Times New Roman"/>
          <w:szCs w:val="24"/>
        </w:rPr>
        <w:t>s</w:t>
      </w:r>
      <w:r w:rsidRPr="00977B62">
        <w:rPr>
          <w:rFonts w:cs="Times New Roman"/>
          <w:szCs w:val="24"/>
        </w:rPr>
        <w:t xml:space="preserve"> </w:t>
      </w:r>
      <w:r w:rsidR="00CF3352">
        <w:rPr>
          <w:rFonts w:cs="Times New Roman"/>
          <w:szCs w:val="24"/>
        </w:rPr>
        <w:t>illustrate</w:t>
      </w:r>
      <w:r w:rsidRPr="00977B62">
        <w:rPr>
          <w:rFonts w:cs="Times New Roman"/>
          <w:szCs w:val="24"/>
        </w:rPr>
        <w:t xml:space="preserve"> that BALCA will </w:t>
      </w:r>
      <w:r>
        <w:rPr>
          <w:rFonts w:cs="Times New Roman"/>
          <w:szCs w:val="24"/>
        </w:rPr>
        <w:t xml:space="preserve">review a decision based </w:t>
      </w:r>
      <w:r w:rsidR="00CF3352">
        <w:rPr>
          <w:rFonts w:cs="Times New Roman"/>
          <w:szCs w:val="24"/>
        </w:rPr>
        <w:t xml:space="preserve">solely </w:t>
      </w:r>
      <w:r>
        <w:rPr>
          <w:rFonts w:cs="Times New Roman"/>
          <w:szCs w:val="24"/>
        </w:rPr>
        <w:t>on the specific regulation</w:t>
      </w:r>
      <w:r w:rsidR="00CF3352">
        <w:rPr>
          <w:rFonts w:cs="Times New Roman"/>
          <w:szCs w:val="24"/>
        </w:rPr>
        <w:t>(s)</w:t>
      </w:r>
      <w:r>
        <w:rPr>
          <w:rFonts w:cs="Times New Roman"/>
          <w:szCs w:val="24"/>
        </w:rPr>
        <w:t xml:space="preserve"> cited by the CO </w:t>
      </w:r>
      <w:r w:rsidRPr="00977B62">
        <w:rPr>
          <w:rFonts w:cs="Times New Roman"/>
          <w:szCs w:val="24"/>
        </w:rPr>
        <w:t xml:space="preserve">when deciding whether to affirm or reverse a labor certification denial. </w:t>
      </w:r>
      <w:r w:rsidR="00CF3352">
        <w:rPr>
          <w:rFonts w:cs="Times New Roman"/>
          <w:szCs w:val="24"/>
        </w:rPr>
        <w:t xml:space="preserve"> Other possible grounds for denial, if not specifically cited by the CO, will not be considered.  For example, in </w:t>
      </w:r>
      <w:r w:rsidR="00CF3352">
        <w:rPr>
          <w:rFonts w:cs="Times New Roman"/>
          <w:i/>
          <w:szCs w:val="24"/>
        </w:rPr>
        <w:t>Hyun-Soo Lee</w:t>
      </w:r>
      <w:r w:rsidRPr="00977B62">
        <w:rPr>
          <w:rFonts w:cs="Times New Roman"/>
          <w:szCs w:val="24"/>
        </w:rPr>
        <w:t xml:space="preserve">, BALCA indicated that the CO could have relied on a different section of law – i.e., 20 CFR § 656.20(b), </w:t>
      </w:r>
      <w:r>
        <w:rPr>
          <w:rFonts w:cs="Times New Roman"/>
          <w:szCs w:val="24"/>
        </w:rPr>
        <w:t xml:space="preserve">which </w:t>
      </w:r>
      <w:r w:rsidRPr="000F48FE">
        <w:rPr>
          <w:rFonts w:cs="Times New Roman"/>
          <w:szCs w:val="24"/>
        </w:rPr>
        <w:t>provides in part that “[a] substantial failure by the employer to provide required documentation will result in that application being denied…”</w:t>
      </w:r>
      <w:r>
        <w:t xml:space="preserve"> </w:t>
      </w:r>
      <w:r w:rsidRPr="00977B62">
        <w:rPr>
          <w:rFonts w:cs="Times New Roman"/>
          <w:szCs w:val="24"/>
        </w:rPr>
        <w:t>to support their decision but did not. Therefore, the CO waived reliance on 20 CFR § 6</w:t>
      </w:r>
      <w:r w:rsidR="006510BA">
        <w:rPr>
          <w:rFonts w:cs="Times New Roman"/>
          <w:szCs w:val="24"/>
        </w:rPr>
        <w:t>56.20(b) as a basis for denial, noting that “</w:t>
      </w:r>
      <w:r w:rsidR="006510BA" w:rsidRPr="00853B2E">
        <w:rPr>
          <w:rFonts w:cs="Times New Roman"/>
          <w:i/>
        </w:rPr>
        <w:t>To do otherwise risks confusion on the part of employers and the legal practitioners assisting them, and can result in judicial inefficiencies upon appellate review.</w:t>
      </w:r>
      <w:r w:rsidR="00853B2E">
        <w:rPr>
          <w:rFonts w:cs="Times New Roman"/>
        </w:rPr>
        <w:t>”</w:t>
      </w:r>
    </w:p>
    <w:p w14:paraId="42D4E136" w14:textId="3533B52C" w:rsidR="00C12AD8" w:rsidRDefault="00C12AD8" w:rsidP="00C12AD8">
      <w:pPr>
        <w:widowControl w:val="0"/>
        <w:autoSpaceDE w:val="0"/>
        <w:autoSpaceDN w:val="0"/>
        <w:adjustRightInd w:val="0"/>
        <w:jc w:val="both"/>
        <w:rPr>
          <w:rFonts w:ascii="Times New Roman" w:hAnsi="Times New Roman" w:cs="Times New Roman"/>
          <w:sz w:val="22"/>
          <w:szCs w:val="22"/>
        </w:rPr>
      </w:pPr>
    </w:p>
    <w:p w14:paraId="7BD09F05" w14:textId="24ACBC6F" w:rsidR="00C12AD8" w:rsidRPr="000D473F" w:rsidRDefault="0049731C" w:rsidP="00C12AD8">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center"/>
        <w:rPr>
          <w:rFonts w:ascii="Times New Roman" w:hAnsi="Times New Roman" w:cs="Times New Roman"/>
          <w:b/>
        </w:rPr>
      </w:pPr>
      <w:r>
        <w:rPr>
          <w:rFonts w:ascii="Times New Roman" w:hAnsi="Times New Roman" w:cs="Times New Roman"/>
          <w:b/>
        </w:rPr>
        <w:t>DENIAL OF REQUEST FOR EXTENSION TO RESPOND TO AN AUDIT REQUEST IS REVIEWED UNDER ABUSE OF DISCRETION STANDARD</w:t>
      </w:r>
      <w:r w:rsidR="00C12AD8">
        <w:rPr>
          <w:rFonts w:ascii="Times New Roman" w:hAnsi="Times New Roman" w:cs="Times New Roman"/>
          <w:b/>
        </w:rPr>
        <w:t xml:space="preserve"> </w:t>
      </w:r>
    </w:p>
    <w:p w14:paraId="0D716AD2" w14:textId="77777777" w:rsidR="00C12AD8" w:rsidRDefault="00C12AD8" w:rsidP="00C12AD8">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b/>
        </w:rPr>
      </w:pPr>
    </w:p>
    <w:p w14:paraId="531BB242" w14:textId="7F9DBC35" w:rsidR="00C12AD8" w:rsidRPr="00827ED8" w:rsidRDefault="00C12AD8" w:rsidP="00C12AD8">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rPr>
      </w:pPr>
      <w:r>
        <w:rPr>
          <w:rFonts w:ascii="Times New Roman" w:hAnsi="Times New Roman" w:cs="Times New Roman"/>
          <w:i/>
        </w:rPr>
        <w:t>Mat</w:t>
      </w:r>
      <w:r w:rsidR="001531E7">
        <w:rPr>
          <w:rFonts w:ascii="Times New Roman" w:hAnsi="Times New Roman" w:cs="Times New Roman"/>
          <w:i/>
        </w:rPr>
        <w:t xml:space="preserve">ter of </w:t>
      </w:r>
      <w:r w:rsidR="001531E7" w:rsidRPr="00044DD1">
        <w:rPr>
          <w:rFonts w:ascii="Times New Roman" w:hAnsi="Times New Roman" w:cs="Times New Roman"/>
          <w:i/>
        </w:rPr>
        <w:t xml:space="preserve">Mama </w:t>
      </w:r>
      <w:proofErr w:type="spellStart"/>
      <w:r w:rsidR="001531E7" w:rsidRPr="00044DD1">
        <w:rPr>
          <w:rFonts w:ascii="Times New Roman" w:hAnsi="Times New Roman" w:cs="Times New Roman"/>
          <w:i/>
        </w:rPr>
        <w:t>Mias</w:t>
      </w:r>
      <w:proofErr w:type="spellEnd"/>
      <w:r w:rsidR="001531E7" w:rsidRPr="00044DD1">
        <w:rPr>
          <w:rFonts w:ascii="Times New Roman" w:hAnsi="Times New Roman" w:cs="Times New Roman"/>
          <w:i/>
        </w:rPr>
        <w:t xml:space="preserve"> LLC</w:t>
      </w:r>
      <w:r w:rsidR="00853B2E">
        <w:rPr>
          <w:rStyle w:val="FootnoteReference"/>
          <w:rFonts w:ascii="Times New Roman" w:hAnsi="Times New Roman" w:cs="Times New Roman"/>
          <w:i/>
        </w:rPr>
        <w:footnoteReference w:id="28"/>
      </w:r>
      <w:r w:rsidR="001531E7" w:rsidRPr="00977B62">
        <w:rPr>
          <w:rFonts w:ascii="Times New Roman" w:hAnsi="Times New Roman" w:cs="Times New Roman"/>
        </w:rPr>
        <w:t xml:space="preserve"> – </w:t>
      </w:r>
      <w:r w:rsidR="001531E7">
        <w:rPr>
          <w:rFonts w:ascii="Times New Roman" w:hAnsi="Times New Roman" w:cs="Times New Roman"/>
        </w:rPr>
        <w:t xml:space="preserve">denial reversed and remanded </w:t>
      </w:r>
      <w:r w:rsidR="001531E7" w:rsidRPr="00977B62">
        <w:rPr>
          <w:rFonts w:ascii="Times New Roman" w:hAnsi="Times New Roman" w:cs="Times New Roman"/>
        </w:rPr>
        <w:t xml:space="preserve">for a Chef </w:t>
      </w:r>
      <w:r w:rsidR="001531E7">
        <w:rPr>
          <w:rFonts w:ascii="Times New Roman" w:hAnsi="Times New Roman" w:cs="Times New Roman"/>
        </w:rPr>
        <w:t>position</w:t>
      </w:r>
      <w:r w:rsidR="001531E7" w:rsidRPr="00977B62">
        <w:rPr>
          <w:rFonts w:ascii="Times New Roman" w:hAnsi="Times New Roman" w:cs="Times New Roman"/>
        </w:rPr>
        <w:t xml:space="preserve">. The CO issued an audit on December 8, 2011 requiring a response by January 9, 2012. The employer requested an extension of time to submit the audit response which was received by </w:t>
      </w:r>
      <w:r w:rsidR="007D72F5">
        <w:rPr>
          <w:rFonts w:ascii="Times New Roman" w:hAnsi="Times New Roman" w:cs="Times New Roman"/>
        </w:rPr>
        <w:t xml:space="preserve">the </w:t>
      </w:r>
      <w:r w:rsidR="001531E7" w:rsidRPr="00977B62">
        <w:rPr>
          <w:rFonts w:ascii="Times New Roman" w:hAnsi="Times New Roman" w:cs="Times New Roman"/>
        </w:rPr>
        <w:t xml:space="preserve">CO on January 10, 2012. The employer cited an inability to retrieve the Form 9089 from the ETA website as the reason for the extension. The CO rejected the request for extension on the grounds that the employer had not justified the need for an extension but never alleged that the extension request was untimely. The CO denied the application on April 9, 2012 citing a substantial failure to provide information. 20 CFR § 656.20(b). </w:t>
      </w:r>
      <w:r w:rsidR="001531E7">
        <w:rPr>
          <w:rFonts w:ascii="Times New Roman" w:hAnsi="Times New Roman" w:cs="Times New Roman"/>
        </w:rPr>
        <w:t>Employers may</w:t>
      </w:r>
      <w:r w:rsidR="001531E7" w:rsidRPr="00977B62">
        <w:rPr>
          <w:rFonts w:ascii="Times New Roman" w:hAnsi="Times New Roman" w:cs="Times New Roman"/>
        </w:rPr>
        <w:t xml:space="preserve"> request an extension of time </w:t>
      </w:r>
      <w:r w:rsidR="001531E7">
        <w:rPr>
          <w:rFonts w:ascii="Times New Roman" w:hAnsi="Times New Roman" w:cs="Times New Roman"/>
        </w:rPr>
        <w:t>for</w:t>
      </w:r>
      <w:r w:rsidR="001531E7" w:rsidRPr="00977B62">
        <w:rPr>
          <w:rFonts w:ascii="Times New Roman" w:hAnsi="Times New Roman" w:cs="Times New Roman"/>
        </w:rPr>
        <w:t xml:space="preserve"> submitting a response to an audit as prescribed in 20 CFR § 656.20(c). In its decision</w:t>
      </w:r>
      <w:r w:rsidR="001531E7">
        <w:rPr>
          <w:rFonts w:ascii="Times New Roman" w:hAnsi="Times New Roman" w:cs="Times New Roman"/>
        </w:rPr>
        <w:t xml:space="preserve"> to reverse denial and remand</w:t>
      </w:r>
      <w:r w:rsidR="001531E7" w:rsidRPr="00977B62">
        <w:rPr>
          <w:rFonts w:ascii="Times New Roman" w:hAnsi="Times New Roman" w:cs="Times New Roman"/>
        </w:rPr>
        <w:t>, BALCA made it clear that “</w:t>
      </w:r>
      <w:r w:rsidR="001531E7" w:rsidRPr="00977B62">
        <w:rPr>
          <w:rFonts w:ascii="Times New Roman" w:hAnsi="Times New Roman" w:cs="Times New Roman"/>
          <w:i/>
        </w:rPr>
        <w:t>the Board reviews the CO’s decision to deny an extension of time for an abuse of discretion.”</w:t>
      </w:r>
      <w:r w:rsidR="001531E7" w:rsidRPr="00977B62">
        <w:rPr>
          <w:rFonts w:ascii="Times New Roman" w:hAnsi="Times New Roman" w:cs="Times New Roman"/>
        </w:rPr>
        <w:t xml:space="preserve"> Here, the employer appeared to have timely requested an extension even though it was not received by the CO until after the audit response was due.  Moreover, the employer provided a plausible reason for the extension –i.e., the inability to retrieve the 9089 from the ETA website which was not specifically rebutted by the CO.  Since the CO never justified why the extension request was denied, BALCA remanded for further processing.</w:t>
      </w:r>
    </w:p>
    <w:p w14:paraId="6892821D" w14:textId="77777777" w:rsidR="00C12AD8" w:rsidRPr="004541CA" w:rsidRDefault="00C12AD8" w:rsidP="00C12AD8">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sz w:val="22"/>
          <w:szCs w:val="22"/>
        </w:rPr>
      </w:pPr>
      <w:r>
        <w:rPr>
          <w:rFonts w:ascii="Times New Roman" w:hAnsi="Times New Roman" w:cs="Times New Roman"/>
          <w:bCs/>
          <w:i/>
          <w:color w:val="000000"/>
        </w:rPr>
        <w:t xml:space="preserve"> </w:t>
      </w:r>
    </w:p>
    <w:p w14:paraId="43E78C98" w14:textId="6802839F" w:rsidR="00CE0ED1" w:rsidRDefault="00CE0ED1" w:rsidP="00CE0ED1">
      <w:pPr>
        <w:widowControl w:val="0"/>
        <w:autoSpaceDE w:val="0"/>
        <w:autoSpaceDN w:val="0"/>
        <w:adjustRightInd w:val="0"/>
        <w:jc w:val="both"/>
        <w:rPr>
          <w:color w:val="000000" w:themeColor="text1"/>
        </w:rPr>
      </w:pPr>
    </w:p>
    <w:p w14:paraId="03380185" w14:textId="3338F524" w:rsidR="00710D78" w:rsidRPr="00BE3848" w:rsidRDefault="00C12AD8" w:rsidP="00121D5A">
      <w:pPr>
        <w:widowControl w:val="0"/>
        <w:autoSpaceDE w:val="0"/>
        <w:autoSpaceDN w:val="0"/>
        <w:adjustRightInd w:val="0"/>
        <w:jc w:val="both"/>
        <w:rPr>
          <w:rFonts w:cs="Times New Roman"/>
        </w:rPr>
      </w:pPr>
      <w:r>
        <w:rPr>
          <w:color w:val="000000" w:themeColor="text1"/>
        </w:rPr>
        <w:t xml:space="preserve"> </w:t>
      </w:r>
    </w:p>
    <w:p w14:paraId="21D1821D" w14:textId="169EEFA9" w:rsidR="00EE6FD1" w:rsidRDefault="00EE6FD1" w:rsidP="00EE6FD1">
      <w:pPr>
        <w:widowControl w:val="0"/>
        <w:autoSpaceDE w:val="0"/>
        <w:autoSpaceDN w:val="0"/>
        <w:adjustRightInd w:val="0"/>
        <w:jc w:val="both"/>
        <w:rPr>
          <w:rFonts w:ascii="Times New Roman" w:hAnsi="Times New Roman" w:cs="Times New Roman"/>
          <w:sz w:val="22"/>
          <w:szCs w:val="22"/>
        </w:rPr>
      </w:pPr>
    </w:p>
    <w:p w14:paraId="7D794482" w14:textId="754CD288" w:rsidR="00EE6FD1" w:rsidRDefault="0049731C" w:rsidP="00EE6FD1">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center"/>
        <w:rPr>
          <w:rFonts w:ascii="Times New Roman" w:hAnsi="Times New Roman" w:cs="Times New Roman"/>
          <w:b/>
        </w:rPr>
      </w:pPr>
      <w:r>
        <w:rPr>
          <w:rFonts w:ascii="Times New Roman" w:hAnsi="Times New Roman" w:cs="Times New Roman"/>
          <w:b/>
        </w:rPr>
        <w:t>DRAFTING PROBLEMS - TRAVEL AND RELOCATION</w:t>
      </w:r>
    </w:p>
    <w:p w14:paraId="4456AC3D" w14:textId="77777777" w:rsidR="0049731C" w:rsidRDefault="0049731C" w:rsidP="0049731C">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rPr>
          <w:rFonts w:ascii="Times New Roman" w:hAnsi="Times New Roman" w:cs="Times New Roman"/>
          <w:i/>
        </w:rPr>
      </w:pPr>
    </w:p>
    <w:p w14:paraId="218E95B4" w14:textId="47FB717B" w:rsidR="00D8023C" w:rsidRDefault="0049731C" w:rsidP="0050790A">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rPr>
      </w:pPr>
      <w:r>
        <w:rPr>
          <w:rFonts w:ascii="Times New Roman" w:hAnsi="Times New Roman" w:cs="Times New Roman"/>
          <w:i/>
        </w:rPr>
        <w:t xml:space="preserve">Matter of </w:t>
      </w:r>
      <w:proofErr w:type="spellStart"/>
      <w:r w:rsidRPr="00295191">
        <w:rPr>
          <w:rFonts w:ascii="Times New Roman" w:hAnsi="Times New Roman" w:cs="Times New Roman"/>
          <w:i/>
        </w:rPr>
        <w:t>Opensoft</w:t>
      </w:r>
      <w:proofErr w:type="spellEnd"/>
      <w:r w:rsidRPr="00295191">
        <w:rPr>
          <w:rFonts w:ascii="Times New Roman" w:hAnsi="Times New Roman" w:cs="Times New Roman"/>
          <w:i/>
        </w:rPr>
        <w:t>, Inc</w:t>
      </w:r>
      <w:r w:rsidR="00853B2E">
        <w:rPr>
          <w:rFonts w:ascii="Times New Roman" w:hAnsi="Times New Roman" w:cs="Times New Roman"/>
          <w:i/>
        </w:rPr>
        <w:t>.</w:t>
      </w:r>
      <w:r w:rsidR="00853B2E">
        <w:rPr>
          <w:rStyle w:val="FootnoteReference"/>
          <w:rFonts w:ascii="Times New Roman" w:hAnsi="Times New Roman" w:cs="Times New Roman"/>
          <w:i/>
        </w:rPr>
        <w:footnoteReference w:id="29"/>
      </w:r>
      <w:r w:rsidRPr="00977B62">
        <w:rPr>
          <w:rFonts w:ascii="Times New Roman" w:hAnsi="Times New Roman" w:cs="Times New Roman"/>
        </w:rPr>
        <w:t xml:space="preserve"> - certification for a Software Developer, Applications (Java Developer) was denied after audit. The employer included travel language in Section H.11 of the ETA 9089 – specifically, “</w:t>
      </w:r>
      <w:r w:rsidRPr="00977B62">
        <w:rPr>
          <w:rFonts w:ascii="Times New Roman" w:hAnsi="Times New Roman" w:cs="Times New Roman"/>
          <w:i/>
        </w:rPr>
        <w:t>[m]</w:t>
      </w:r>
      <w:proofErr w:type="spellStart"/>
      <w:r w:rsidRPr="00977B62">
        <w:rPr>
          <w:rFonts w:ascii="Times New Roman" w:hAnsi="Times New Roman" w:cs="Times New Roman"/>
          <w:i/>
        </w:rPr>
        <w:t>ust</w:t>
      </w:r>
      <w:proofErr w:type="spellEnd"/>
      <w:r w:rsidRPr="00977B62">
        <w:rPr>
          <w:rFonts w:ascii="Times New Roman" w:hAnsi="Times New Roman" w:cs="Times New Roman"/>
          <w:i/>
        </w:rPr>
        <w:t xml:space="preserve"> be willing to travel, perform feasibility studies, and interact with clients for different long term and </w:t>
      </w:r>
      <w:proofErr w:type="gramStart"/>
      <w:r w:rsidRPr="00977B62">
        <w:rPr>
          <w:rFonts w:ascii="Times New Roman" w:hAnsi="Times New Roman" w:cs="Times New Roman"/>
          <w:i/>
        </w:rPr>
        <w:t>short term</w:t>
      </w:r>
      <w:proofErr w:type="gramEnd"/>
      <w:r w:rsidRPr="00977B62">
        <w:rPr>
          <w:rFonts w:ascii="Times New Roman" w:hAnsi="Times New Roman" w:cs="Times New Roman"/>
          <w:i/>
        </w:rPr>
        <w:t xml:space="preserve"> projects</w:t>
      </w:r>
      <w:r w:rsidRPr="00977B62">
        <w:rPr>
          <w:rFonts w:ascii="Times New Roman" w:hAnsi="Times New Roman" w:cs="Times New Roman"/>
        </w:rPr>
        <w:t>.” The employer’s recruitment included newspaper and website ads for multiple job opportunities at different levels.</w:t>
      </w:r>
      <w:r w:rsidRPr="00977B62">
        <w:rPr>
          <w:rStyle w:val="FootnoteReference"/>
          <w:rFonts w:ascii="Times New Roman" w:hAnsi="Times New Roman" w:cs="Times New Roman"/>
        </w:rPr>
        <w:footnoteReference w:id="30"/>
      </w:r>
      <w:r w:rsidRPr="00977B62">
        <w:rPr>
          <w:rFonts w:ascii="Times New Roman" w:hAnsi="Times New Roman" w:cs="Times New Roman"/>
        </w:rPr>
        <w:t xml:space="preserve"> The ad for the Java Developer opportunities included the phrase, “Trav. &amp; </w:t>
      </w:r>
      <w:proofErr w:type="spellStart"/>
      <w:r w:rsidRPr="00977B62">
        <w:rPr>
          <w:rFonts w:ascii="Times New Roman" w:hAnsi="Times New Roman" w:cs="Times New Roman"/>
        </w:rPr>
        <w:t>relo</w:t>
      </w:r>
      <w:proofErr w:type="spellEnd"/>
      <w:r w:rsidRPr="00977B62">
        <w:rPr>
          <w:rFonts w:ascii="Times New Roman" w:hAnsi="Times New Roman" w:cs="Times New Roman"/>
        </w:rPr>
        <w:t>. may be reqd.” The CO denied certification on the grounds that the newspaper ad contained a relocation requirement that was not listed on the ETA 9089 and thus violated 20 CFR §§ 656.17(f)(6) and (7) as the ads contained “job requirements or duties which exceed the job requirements or duties listed on the ETA Form 9089.” On reconsideration, the employer cited Microsoft Corp., 2011-PER-00324 (Feb. 29, 2012)</w:t>
      </w:r>
      <w:r w:rsidR="00FC5140">
        <w:rPr>
          <w:rStyle w:val="FootnoteReference"/>
          <w:rFonts w:ascii="Times New Roman" w:hAnsi="Times New Roman" w:cs="Times New Roman"/>
        </w:rPr>
        <w:footnoteReference w:id="31"/>
      </w:r>
      <w:r w:rsidRPr="00977B62">
        <w:rPr>
          <w:rFonts w:ascii="Times New Roman" w:hAnsi="Times New Roman" w:cs="Times New Roman"/>
        </w:rPr>
        <w:t xml:space="preserve"> asserting the plain language of the ads indicated there were multiple job opportunities – some of which required relocation and some that did not. BALCA affirmed the denial finding the phrase, “Trav. &amp; </w:t>
      </w:r>
      <w:proofErr w:type="spellStart"/>
      <w:r w:rsidRPr="00977B62">
        <w:rPr>
          <w:rFonts w:ascii="Times New Roman" w:hAnsi="Times New Roman" w:cs="Times New Roman"/>
        </w:rPr>
        <w:t>relo</w:t>
      </w:r>
      <w:proofErr w:type="spellEnd"/>
      <w:r w:rsidRPr="00977B62">
        <w:rPr>
          <w:rFonts w:ascii="Times New Roman" w:hAnsi="Times New Roman" w:cs="Times New Roman"/>
        </w:rPr>
        <w:t xml:space="preserve">. may be </w:t>
      </w:r>
      <w:proofErr w:type="spellStart"/>
      <w:r w:rsidRPr="00977B62">
        <w:rPr>
          <w:rFonts w:ascii="Times New Roman" w:hAnsi="Times New Roman" w:cs="Times New Roman"/>
        </w:rPr>
        <w:t>reqd</w:t>
      </w:r>
      <w:proofErr w:type="spellEnd"/>
      <w:r w:rsidRPr="00977B62">
        <w:rPr>
          <w:rFonts w:ascii="Times New Roman" w:hAnsi="Times New Roman" w:cs="Times New Roman"/>
        </w:rPr>
        <w:t>” in the advertisements created a chilling effect on potential U.S.</w:t>
      </w:r>
      <w:r>
        <w:rPr>
          <w:rFonts w:ascii="Times New Roman" w:hAnsi="Times New Roman" w:cs="Times New Roman"/>
        </w:rPr>
        <w:t xml:space="preserve"> applicants.</w:t>
      </w:r>
    </w:p>
    <w:p w14:paraId="6A799312" w14:textId="550C0DC0" w:rsidR="0049731C" w:rsidRDefault="0049731C" w:rsidP="0050790A">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rPr>
      </w:pPr>
    </w:p>
    <w:p w14:paraId="4A787463" w14:textId="1B1E53CC" w:rsidR="0049731C" w:rsidRPr="0049731C" w:rsidRDefault="0049731C" w:rsidP="0050790A">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b/>
          <w:i/>
        </w:rPr>
      </w:pPr>
      <w:r>
        <w:rPr>
          <w:rFonts w:ascii="Times New Roman" w:hAnsi="Times New Roman" w:cs="Times New Roman"/>
          <w:i/>
        </w:rPr>
        <w:lastRenderedPageBreak/>
        <w:t xml:space="preserve">Matter of </w:t>
      </w:r>
      <w:r w:rsidRPr="00295191">
        <w:rPr>
          <w:rFonts w:ascii="Times New Roman" w:hAnsi="Times New Roman" w:cs="Times New Roman"/>
          <w:i/>
        </w:rPr>
        <w:t>Proficient Business Systems, Inc.</w:t>
      </w:r>
      <w:r w:rsidR="00DF3532">
        <w:rPr>
          <w:rStyle w:val="FootnoteReference"/>
          <w:rFonts w:ascii="Times New Roman" w:hAnsi="Times New Roman" w:cs="Times New Roman"/>
          <w:i/>
        </w:rPr>
        <w:footnoteReference w:id="32"/>
      </w:r>
      <w:r w:rsidRPr="00977B62">
        <w:rPr>
          <w:rFonts w:ascii="Times New Roman" w:hAnsi="Times New Roman" w:cs="Times New Roman"/>
        </w:rPr>
        <w:t xml:space="preserve"> – multiple </w:t>
      </w:r>
      <w:r w:rsidR="00DF3532">
        <w:rPr>
          <w:rFonts w:ascii="Times New Roman" w:hAnsi="Times New Roman" w:cs="Times New Roman"/>
        </w:rPr>
        <w:t xml:space="preserve">denials reversed where </w:t>
      </w:r>
      <w:r w:rsidRPr="00977B62">
        <w:rPr>
          <w:rFonts w:ascii="Times New Roman" w:hAnsi="Times New Roman" w:cs="Times New Roman"/>
        </w:rPr>
        <w:t>the employer did not disclose in its ads or applications that workers might have to relocate. The employer did however indicate the job location encompassed “unanticipated locations throughout the U.S.” in both its advertisements and applications. BALCA reversed the denials relying on Infosys Ltd, 2016-PER-00074.</w:t>
      </w:r>
      <w:r w:rsidR="00DF3532">
        <w:rPr>
          <w:rStyle w:val="FootnoteReference"/>
          <w:rFonts w:ascii="Times New Roman" w:hAnsi="Times New Roman" w:cs="Times New Roman"/>
        </w:rPr>
        <w:footnoteReference w:id="33"/>
      </w:r>
      <w:r w:rsidRPr="00977B62">
        <w:rPr>
          <w:rFonts w:ascii="Times New Roman" w:hAnsi="Times New Roman" w:cs="Times New Roman"/>
        </w:rPr>
        <w:t xml:space="preserve"> In Infosys, BALCA dealt with a similar issue and concluded that it was reasonable to assume that relocation was possible because the employer indicated the job location was in Plano, Texas and various unanticipated locations throughout the</w:t>
      </w:r>
      <w:r>
        <w:rPr>
          <w:rFonts w:ascii="Times New Roman" w:hAnsi="Times New Roman" w:cs="Times New Roman"/>
        </w:rPr>
        <w:t xml:space="preserve"> U.S.</w:t>
      </w:r>
    </w:p>
    <w:p w14:paraId="1EC66D59" w14:textId="77777777" w:rsidR="00EE6FD1" w:rsidRPr="004541CA" w:rsidRDefault="00EE6FD1" w:rsidP="00EE6FD1">
      <w:pPr>
        <w:pBdr>
          <w:top w:val="single" w:sz="18" w:space="1" w:color="auto"/>
          <w:left w:val="single" w:sz="18" w:space="4" w:color="auto"/>
          <w:bottom w:val="single" w:sz="18" w:space="1" w:color="auto"/>
          <w:right w:val="single" w:sz="18" w:space="4" w:color="auto"/>
        </w:pBdr>
        <w:shd w:val="pct10" w:color="auto" w:fill="auto"/>
        <w:autoSpaceDE w:val="0"/>
        <w:autoSpaceDN w:val="0"/>
        <w:adjustRightInd w:val="0"/>
        <w:jc w:val="both"/>
        <w:rPr>
          <w:rFonts w:ascii="Times New Roman" w:hAnsi="Times New Roman" w:cs="Times New Roman"/>
          <w:sz w:val="22"/>
          <w:szCs w:val="22"/>
        </w:rPr>
      </w:pPr>
      <w:r>
        <w:rPr>
          <w:rFonts w:ascii="Times New Roman" w:hAnsi="Times New Roman" w:cs="Times New Roman"/>
          <w:bCs/>
          <w:i/>
          <w:color w:val="000000"/>
        </w:rPr>
        <w:t xml:space="preserve"> </w:t>
      </w:r>
    </w:p>
    <w:p w14:paraId="3909DF44" w14:textId="294C356F" w:rsidR="00EE6FD1" w:rsidRPr="0012085E" w:rsidRDefault="00EE6FD1" w:rsidP="0012085E">
      <w:pPr>
        <w:pStyle w:val="paragraph"/>
        <w:jc w:val="both"/>
        <w:textAlignment w:val="baseline"/>
        <w:rPr>
          <w:sz w:val="22"/>
          <w:szCs w:val="22"/>
        </w:rPr>
      </w:pPr>
      <w:r w:rsidRPr="00233491">
        <w:rPr>
          <w:b/>
          <w:i/>
          <w:color w:val="000000" w:themeColor="text1"/>
        </w:rPr>
        <w:t xml:space="preserve">Comment: </w:t>
      </w:r>
      <w:r w:rsidR="00B36D43">
        <w:rPr>
          <w:b/>
          <w:color w:val="000000" w:themeColor="text1"/>
        </w:rPr>
        <w:t xml:space="preserve"> </w:t>
      </w:r>
      <w:proofErr w:type="spellStart"/>
      <w:r w:rsidR="0049731C">
        <w:rPr>
          <w:i/>
          <w:color w:val="000000" w:themeColor="text1"/>
        </w:rPr>
        <w:t>Opensoft</w:t>
      </w:r>
      <w:proofErr w:type="spellEnd"/>
      <w:r w:rsidR="0049731C">
        <w:rPr>
          <w:i/>
          <w:color w:val="000000" w:themeColor="text1"/>
        </w:rPr>
        <w:t xml:space="preserve"> </w:t>
      </w:r>
      <w:r w:rsidR="0049731C" w:rsidRPr="00977B62">
        <w:t xml:space="preserve">should remind employers the importance of clarity and word choice </w:t>
      </w:r>
      <w:r w:rsidR="00DF3532">
        <w:t xml:space="preserve">and risk of misinterpretation </w:t>
      </w:r>
      <w:r w:rsidR="0049731C" w:rsidRPr="00977B62">
        <w:t>when drafting advertisements</w:t>
      </w:r>
      <w:r w:rsidR="0049731C">
        <w:t>, particularly where a single ad is intended to cover multiple positions</w:t>
      </w:r>
      <w:r w:rsidR="0049731C" w:rsidRPr="00977B62">
        <w:t>.</w:t>
      </w:r>
      <w:r w:rsidR="0049731C" w:rsidRPr="00977B62">
        <w:rPr>
          <w:rStyle w:val="FootnoteReference"/>
        </w:rPr>
        <w:footnoteReference w:id="34"/>
      </w:r>
      <w:r w:rsidR="00FC5140">
        <w:t xml:space="preserve">  BALCA distinguished its decision in </w:t>
      </w:r>
      <w:r w:rsidR="0049731C" w:rsidRPr="00FC5140">
        <w:rPr>
          <w:i/>
        </w:rPr>
        <w:t xml:space="preserve">Microsoft </w:t>
      </w:r>
      <w:r w:rsidR="00FC5140" w:rsidRPr="00FC5140">
        <w:rPr>
          <w:i/>
        </w:rPr>
        <w:t>Corp.</w:t>
      </w:r>
      <w:r w:rsidR="00FC5140">
        <w:rPr>
          <w:i/>
        </w:rPr>
        <w:t xml:space="preserve">, </w:t>
      </w:r>
      <w:r w:rsidR="00FC5140">
        <w:t xml:space="preserve">which involved similar but not identical facts, </w:t>
      </w:r>
      <w:r w:rsidR="0049731C" w:rsidRPr="00977B62">
        <w:t>because the employer had not made it clear that the relocation requirement did not apply to all job opportunities. In Microsoft, the advertisements included the words “and/or” and were written in a passive voice making it clearer to readers that not all requirements applied to all job opportunities. To avoid confusion, employers should make it clear which requirements apply to which opportunities, especially for a travel or relocation requirement.</w:t>
      </w:r>
      <w:r w:rsidR="0049731C" w:rsidRPr="00977B62">
        <w:rPr>
          <w:rStyle w:val="FootnoteReference"/>
        </w:rPr>
        <w:footnoteReference w:id="35"/>
      </w:r>
    </w:p>
    <w:p w14:paraId="2E017A46" w14:textId="77777777" w:rsidR="004B257E" w:rsidRPr="00A71B8E" w:rsidRDefault="004B257E" w:rsidP="004B257E">
      <w:pPr>
        <w:jc w:val="both"/>
        <w:rPr>
          <w:rFonts w:ascii="Times New Roman" w:hAnsi="Times New Roman" w:cs="Times New Roman"/>
        </w:rPr>
      </w:pPr>
    </w:p>
    <w:p w14:paraId="09BCAB5F" w14:textId="77777777" w:rsidR="004B257E" w:rsidRPr="00A71B8E" w:rsidRDefault="004B257E" w:rsidP="004B257E">
      <w:pPr>
        <w:jc w:val="both"/>
        <w:rPr>
          <w:rFonts w:ascii="Times New Roman" w:hAnsi="Times New Roman" w:cs="Times New Roman"/>
          <w:b/>
          <w:u w:val="single"/>
        </w:rPr>
      </w:pPr>
      <w:r w:rsidRPr="00A71B8E">
        <w:rPr>
          <w:rFonts w:ascii="Times New Roman" w:hAnsi="Times New Roman" w:cs="Times New Roman"/>
          <w:b/>
          <w:u w:val="single"/>
        </w:rPr>
        <w:t xml:space="preserve">INDEX OF BALCA DECISIONS </w:t>
      </w:r>
    </w:p>
    <w:p w14:paraId="26070A1E" w14:textId="77777777" w:rsidR="004B257E" w:rsidRPr="00A71B8E" w:rsidRDefault="004B257E" w:rsidP="004B257E">
      <w:pPr>
        <w:widowControl w:val="0"/>
        <w:autoSpaceDE w:val="0"/>
        <w:autoSpaceDN w:val="0"/>
        <w:adjustRightInd w:val="0"/>
        <w:jc w:val="both"/>
        <w:rPr>
          <w:rFonts w:ascii="Times New Roman" w:hAnsi="Times New Roman" w:cs="Times New Roman"/>
          <w:i/>
        </w:rPr>
      </w:pPr>
    </w:p>
    <w:p w14:paraId="0283AD3B" w14:textId="77777777" w:rsidR="000A5331" w:rsidRDefault="000A5331" w:rsidP="000A5331">
      <w:pPr>
        <w:pStyle w:val="NoSpacing"/>
        <w:numPr>
          <w:ilvl w:val="0"/>
          <w:numId w:val="27"/>
        </w:numPr>
        <w:rPr>
          <w:rFonts w:cs="Times New Roman"/>
        </w:rPr>
      </w:pPr>
      <w:r w:rsidRPr="00DF7B06">
        <w:rPr>
          <w:rFonts w:cs="Times New Roman"/>
          <w:sz w:val="22"/>
        </w:rPr>
        <w:t xml:space="preserve">Matter of Academic Partnerships, LLC, 2016 BALCA LEXIS 917 (BALCA Dec. 7, 2016); </w:t>
      </w:r>
    </w:p>
    <w:p w14:paraId="10996782" w14:textId="77777777" w:rsidR="000A5331" w:rsidRPr="00DF7B06" w:rsidRDefault="000A5331" w:rsidP="000A5331">
      <w:pPr>
        <w:pStyle w:val="NoSpacing"/>
        <w:numPr>
          <w:ilvl w:val="0"/>
          <w:numId w:val="27"/>
        </w:numPr>
        <w:rPr>
          <w:rFonts w:cs="Times New Roman"/>
          <w:sz w:val="22"/>
        </w:rPr>
      </w:pPr>
      <w:r w:rsidRPr="00DF7B06">
        <w:rPr>
          <w:rFonts w:cs="Times New Roman"/>
          <w:sz w:val="22"/>
        </w:rPr>
        <w:t xml:space="preserve">Matter of American Airlines, 2016 BALCA LEXIS 510 (August 5, 2016); </w:t>
      </w:r>
    </w:p>
    <w:p w14:paraId="6824AD1C"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Cardinal Health, 2016 BALCA LEXIS 585 (BALCA Sept 13, 2016)</w:t>
      </w:r>
    </w:p>
    <w:p w14:paraId="6211F591" w14:textId="77777777" w:rsidR="000A5331" w:rsidRPr="00DF7B06" w:rsidRDefault="000A5331" w:rsidP="000A5331">
      <w:pPr>
        <w:pStyle w:val="NoSpacing"/>
        <w:numPr>
          <w:ilvl w:val="0"/>
          <w:numId w:val="27"/>
        </w:numPr>
        <w:rPr>
          <w:rFonts w:cs="Times New Roman"/>
          <w:sz w:val="22"/>
        </w:rPr>
      </w:pPr>
      <w:r w:rsidRPr="00DF7B06">
        <w:rPr>
          <w:rFonts w:cs="Times New Roman"/>
          <w:sz w:val="22"/>
        </w:rPr>
        <w:t xml:space="preserve">Matter of </w:t>
      </w:r>
      <w:proofErr w:type="spellStart"/>
      <w:r w:rsidRPr="00DF7B06">
        <w:rPr>
          <w:rFonts w:cs="Times New Roman"/>
          <w:sz w:val="22"/>
        </w:rPr>
        <w:t>Clearstructure</w:t>
      </w:r>
      <w:proofErr w:type="spellEnd"/>
      <w:r w:rsidRPr="00DF7B06">
        <w:rPr>
          <w:rFonts w:cs="Times New Roman"/>
          <w:sz w:val="22"/>
        </w:rPr>
        <w:t xml:space="preserve"> Financial Technology LLC, 2017 BALCA LEXIS 402 (March 10, 2017)</w:t>
      </w:r>
    </w:p>
    <w:p w14:paraId="6606B92E"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Encore NG Services Inc., 2016 BALCA LEXIS 918 (BALCA Dec. 7, 2016); </w:t>
      </w:r>
    </w:p>
    <w:p w14:paraId="2AFAFD11"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Global Teachers Research and Resources, Inc., 2017 BALCA LEXIS 583 (Apr. 5, 2017)</w:t>
      </w:r>
    </w:p>
    <w:p w14:paraId="79CB4978"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Google, Inc., 2016 BALCA LEXIS 881 (BALCA Nov. 30, 2016); </w:t>
      </w:r>
    </w:p>
    <w:p w14:paraId="06CE67B3" w14:textId="77777777" w:rsidR="000A5331" w:rsidRPr="00DF7B06"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Matter of Guardian Pharmacy, LLC, 2017 BALCA LEXIS 681 (Apr. 26, 2017).</w:t>
      </w:r>
    </w:p>
    <w:p w14:paraId="376CEF1B"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HSBC Bank USA, N.A.</w:t>
      </w:r>
      <w:r w:rsidRPr="00DF7B06">
        <w:rPr>
          <w:rFonts w:cs="Times New Roman"/>
          <w:i/>
          <w:sz w:val="22"/>
        </w:rPr>
        <w:t xml:space="preserve">, </w:t>
      </w:r>
      <w:r w:rsidRPr="00DF7B06">
        <w:rPr>
          <w:rFonts w:cs="Times New Roman"/>
          <w:sz w:val="22"/>
        </w:rPr>
        <w:t>2016 BALCA LEXIS 751 (BALCA Oct. 28, 2016).</w:t>
      </w:r>
    </w:p>
    <w:p w14:paraId="691DB7AC" w14:textId="77777777" w:rsidR="000A5331" w:rsidRPr="00DF7B06"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Matter of Hyun-Soo Lee, MD. P.A., 2017 BALCA LEXIS 1274 (July 18, 2017).</w:t>
      </w:r>
    </w:p>
    <w:p w14:paraId="341C2BA9" w14:textId="77777777" w:rsidR="000A5331" w:rsidRPr="00DF7B06"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w:t>
      </w:r>
      <w:proofErr w:type="spellStart"/>
      <w:r w:rsidRPr="00DF7B06">
        <w:rPr>
          <w:rFonts w:ascii="Times New Roman" w:hAnsi="Times New Roman" w:cs="Times New Roman"/>
          <w:sz w:val="22"/>
          <w:szCs w:val="22"/>
        </w:rPr>
        <w:t>Infoexperts</w:t>
      </w:r>
      <w:proofErr w:type="spellEnd"/>
      <w:r w:rsidRPr="00DF7B06">
        <w:rPr>
          <w:rFonts w:ascii="Times New Roman" w:hAnsi="Times New Roman" w:cs="Times New Roman"/>
          <w:sz w:val="22"/>
          <w:szCs w:val="22"/>
        </w:rPr>
        <w:t xml:space="preserve">, 2017 </w:t>
      </w:r>
      <w:proofErr w:type="spellStart"/>
      <w:r w:rsidRPr="00DF7B06">
        <w:rPr>
          <w:rFonts w:ascii="Times New Roman" w:hAnsi="Times New Roman" w:cs="Times New Roman"/>
          <w:sz w:val="22"/>
          <w:szCs w:val="22"/>
        </w:rPr>
        <w:t>BALCA</w:t>
      </w:r>
      <w:proofErr w:type="spellEnd"/>
      <w:r w:rsidRPr="00DF7B06">
        <w:rPr>
          <w:rFonts w:ascii="Times New Roman" w:hAnsi="Times New Roman" w:cs="Times New Roman"/>
          <w:sz w:val="22"/>
          <w:szCs w:val="22"/>
        </w:rPr>
        <w:t xml:space="preserve"> LEXIS 1398 (Aug. 25, 2017).</w:t>
      </w:r>
    </w:p>
    <w:p w14:paraId="37C3B4A2"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Infosys LTD, 2016 BALCA LEXIS 270 (May 12, 2016).</w:t>
      </w:r>
    </w:p>
    <w:p w14:paraId="69F57434"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Kim Howard Corporation, 2016 BALCA LEXIS 909 (BALCA Dec. 6, 2016).</w:t>
      </w:r>
    </w:p>
    <w:p w14:paraId="0877E86E" w14:textId="77777777" w:rsidR="000A5331" w:rsidRPr="00DF7B06" w:rsidRDefault="000A5331" w:rsidP="000A5331">
      <w:pPr>
        <w:pStyle w:val="NoSpacing"/>
        <w:numPr>
          <w:ilvl w:val="0"/>
          <w:numId w:val="27"/>
        </w:numPr>
        <w:rPr>
          <w:rFonts w:cs="Times New Roman"/>
          <w:sz w:val="22"/>
        </w:rPr>
      </w:pPr>
      <w:r w:rsidRPr="00DF7B06">
        <w:rPr>
          <w:rFonts w:cs="Times New Roman"/>
          <w:sz w:val="22"/>
        </w:rPr>
        <w:lastRenderedPageBreak/>
        <w:t>Matter of Kohn Pedersen Fox Associates PC, 2016 BALCA LEXIS 878 (BALCA Nov. 25, 2016)</w:t>
      </w:r>
    </w:p>
    <w:p w14:paraId="7B1C68E6" w14:textId="77777777" w:rsidR="000A5331" w:rsidRDefault="000A5331" w:rsidP="000A5331">
      <w:pPr>
        <w:pStyle w:val="NoSpacing"/>
        <w:numPr>
          <w:ilvl w:val="0"/>
          <w:numId w:val="27"/>
        </w:numPr>
        <w:rPr>
          <w:rFonts w:cs="Times New Roman"/>
        </w:rPr>
      </w:pPr>
      <w:r w:rsidRPr="00DF7B06">
        <w:rPr>
          <w:rFonts w:cs="Times New Roman"/>
          <w:sz w:val="22"/>
        </w:rPr>
        <w:t xml:space="preserve">Matter of Lodestar Consulting LLC, 2016 BALCA LEXIS 931 (BALCA Dec. 13, 2016); </w:t>
      </w:r>
    </w:p>
    <w:p w14:paraId="0BF12E74" w14:textId="77777777" w:rsidR="000A5331" w:rsidRDefault="000A5331" w:rsidP="000A5331">
      <w:pPr>
        <w:pStyle w:val="NoSpacing"/>
        <w:numPr>
          <w:ilvl w:val="0"/>
          <w:numId w:val="27"/>
        </w:numPr>
        <w:rPr>
          <w:rFonts w:cs="Times New Roman"/>
        </w:rPr>
      </w:pPr>
      <w:r w:rsidRPr="00DF7B06">
        <w:rPr>
          <w:rFonts w:cs="Times New Roman"/>
          <w:sz w:val="22"/>
        </w:rPr>
        <w:t xml:space="preserve">Matter of M5 Networks, 2016 BALCA LEXIS 841 (BALCA Nov. 16, 2016); </w:t>
      </w:r>
    </w:p>
    <w:p w14:paraId="3E8FC506"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Mama </w:t>
      </w:r>
      <w:proofErr w:type="spellStart"/>
      <w:r w:rsidRPr="00DF7B06">
        <w:rPr>
          <w:rFonts w:ascii="Times New Roman" w:hAnsi="Times New Roman" w:cs="Times New Roman"/>
          <w:sz w:val="22"/>
          <w:szCs w:val="22"/>
        </w:rPr>
        <w:t>Mias</w:t>
      </w:r>
      <w:proofErr w:type="spellEnd"/>
      <w:r w:rsidRPr="00DF7B06">
        <w:rPr>
          <w:rFonts w:ascii="Times New Roman" w:hAnsi="Times New Roman" w:cs="Times New Roman"/>
          <w:sz w:val="22"/>
          <w:szCs w:val="22"/>
        </w:rPr>
        <w:t xml:space="preserve"> LLC, 2017 </w:t>
      </w:r>
      <w:proofErr w:type="spellStart"/>
      <w:r w:rsidRPr="00DF7B06">
        <w:rPr>
          <w:rFonts w:ascii="Times New Roman" w:hAnsi="Times New Roman" w:cs="Times New Roman"/>
          <w:sz w:val="22"/>
          <w:szCs w:val="22"/>
        </w:rPr>
        <w:t>BALCA</w:t>
      </w:r>
      <w:proofErr w:type="spellEnd"/>
      <w:r w:rsidRPr="00DF7B06">
        <w:rPr>
          <w:rFonts w:ascii="Times New Roman" w:hAnsi="Times New Roman" w:cs="Times New Roman"/>
          <w:sz w:val="22"/>
          <w:szCs w:val="22"/>
        </w:rPr>
        <w:t xml:space="preserve"> LEXIS 1401 (Aug. 25, 2017).</w:t>
      </w:r>
    </w:p>
    <w:p w14:paraId="2C864974"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Micron Technology, Inc., 2016 BALCA LEXIS 506 (August 1, 2016); </w:t>
      </w:r>
    </w:p>
    <w:p w14:paraId="36BCAB8D" w14:textId="77777777" w:rsidR="000A5331" w:rsidRPr="00DF7B06"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Matter of Microsoft Corp., 2012 BALCA LEXIS 371 (Feb. 29, 2012).</w:t>
      </w:r>
    </w:p>
    <w:p w14:paraId="7F0E13D7" w14:textId="77777777" w:rsidR="000A5331" w:rsidRPr="00DF7B06" w:rsidRDefault="000A5331" w:rsidP="000A5331">
      <w:pPr>
        <w:pStyle w:val="NoSpacing"/>
        <w:numPr>
          <w:ilvl w:val="0"/>
          <w:numId w:val="27"/>
        </w:numPr>
        <w:rPr>
          <w:rFonts w:cs="Times New Roman"/>
          <w:sz w:val="22"/>
        </w:rPr>
      </w:pPr>
      <w:r w:rsidRPr="00DF7B06">
        <w:rPr>
          <w:rFonts w:cs="Times New Roman"/>
          <w:sz w:val="22"/>
        </w:rPr>
        <w:t xml:space="preserve">Matter of </w:t>
      </w:r>
      <w:proofErr w:type="spellStart"/>
      <w:r w:rsidRPr="00DF7B06">
        <w:rPr>
          <w:rFonts w:cs="Times New Roman"/>
          <w:sz w:val="22"/>
        </w:rPr>
        <w:t>Netapp</w:t>
      </w:r>
      <w:proofErr w:type="spellEnd"/>
      <w:r w:rsidRPr="00DF7B06">
        <w:rPr>
          <w:rFonts w:cs="Times New Roman"/>
          <w:sz w:val="22"/>
        </w:rPr>
        <w:t>, Inc., 2017 BALCA LEXIS 104 (Jan. 25, 2017).</w:t>
      </w:r>
    </w:p>
    <w:p w14:paraId="5A1C1438" w14:textId="77777777" w:rsidR="000A5331" w:rsidRPr="00DF7B06" w:rsidRDefault="000A5331" w:rsidP="000A5331">
      <w:pPr>
        <w:pStyle w:val="NoSpacing"/>
        <w:numPr>
          <w:ilvl w:val="0"/>
          <w:numId w:val="27"/>
        </w:numPr>
        <w:rPr>
          <w:rFonts w:cs="Times New Roman"/>
          <w:sz w:val="22"/>
        </w:rPr>
      </w:pPr>
      <w:r w:rsidRPr="00DF7B06">
        <w:rPr>
          <w:rFonts w:cs="Times New Roman"/>
          <w:sz w:val="22"/>
        </w:rPr>
        <w:t xml:space="preserve">Matter of </w:t>
      </w:r>
      <w:proofErr w:type="spellStart"/>
      <w:r w:rsidRPr="00DF7B06">
        <w:rPr>
          <w:rFonts w:cs="Times New Roman"/>
          <w:sz w:val="22"/>
        </w:rPr>
        <w:t>Opensoft</w:t>
      </w:r>
      <w:proofErr w:type="spellEnd"/>
      <w:r w:rsidRPr="00DF7B06">
        <w:rPr>
          <w:rFonts w:cs="Times New Roman"/>
          <w:sz w:val="22"/>
        </w:rPr>
        <w:t>, Inc., 2017 BALCA LEXIS 1408 (Aug. 22, 2017).</w:t>
      </w:r>
    </w:p>
    <w:p w14:paraId="02407E97"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Proficient Business Systems, Inc., 2017 BALCA LEXIS 1320 (July 28, 2017).</w:t>
      </w:r>
    </w:p>
    <w:p w14:paraId="7F451CF3"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Robert Bosch, 2016 BALCA LEXIS 568 (August 25, 2016).</w:t>
      </w:r>
    </w:p>
    <w:p w14:paraId="19749C08"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SolarCity, 2017 BALCA LEXIS 132 (Feb. 1, 2017); </w:t>
      </w:r>
    </w:p>
    <w:p w14:paraId="29928BCA" w14:textId="77777777" w:rsidR="000A5331" w:rsidRPr="00DF7B06" w:rsidRDefault="000A5331" w:rsidP="000A5331">
      <w:pPr>
        <w:pStyle w:val="NoSpacing"/>
        <w:numPr>
          <w:ilvl w:val="0"/>
          <w:numId w:val="27"/>
        </w:numPr>
        <w:rPr>
          <w:rFonts w:cs="Times New Roman"/>
          <w:sz w:val="22"/>
        </w:rPr>
      </w:pPr>
      <w:r w:rsidRPr="00DF7B06">
        <w:rPr>
          <w:rFonts w:cs="Times New Roman"/>
          <w:sz w:val="22"/>
        </w:rPr>
        <w:t xml:space="preserve">Matter of </w:t>
      </w:r>
      <w:proofErr w:type="spellStart"/>
      <w:r w:rsidRPr="00DF7B06">
        <w:rPr>
          <w:rFonts w:cs="Times New Roman"/>
          <w:sz w:val="22"/>
        </w:rPr>
        <w:t>Systime</w:t>
      </w:r>
      <w:proofErr w:type="spellEnd"/>
      <w:r w:rsidRPr="00DF7B06">
        <w:rPr>
          <w:rFonts w:cs="Times New Roman"/>
          <w:sz w:val="22"/>
        </w:rPr>
        <w:t xml:space="preserve"> Computer Corp., 2017 BALCA LEXIS 1263 (July 18, 2017).</w:t>
      </w:r>
    </w:p>
    <w:p w14:paraId="760996A7" w14:textId="77777777" w:rsidR="000A5331" w:rsidRDefault="000A5331" w:rsidP="000A5331">
      <w:pPr>
        <w:pStyle w:val="NoSpacing"/>
        <w:numPr>
          <w:ilvl w:val="0"/>
          <w:numId w:val="27"/>
        </w:numPr>
        <w:rPr>
          <w:rFonts w:cs="Times New Roman"/>
        </w:rPr>
      </w:pPr>
      <w:r w:rsidRPr="00DF7B06">
        <w:rPr>
          <w:rFonts w:cs="Times New Roman"/>
          <w:sz w:val="22"/>
        </w:rPr>
        <w:t xml:space="preserve">Matter of </w:t>
      </w:r>
      <w:proofErr w:type="spellStart"/>
      <w:r w:rsidRPr="00DF7B06">
        <w:rPr>
          <w:rFonts w:cs="Times New Roman"/>
          <w:sz w:val="22"/>
        </w:rPr>
        <w:t>Techorbits</w:t>
      </w:r>
      <w:proofErr w:type="spellEnd"/>
      <w:r w:rsidRPr="00DF7B06">
        <w:rPr>
          <w:rFonts w:cs="Times New Roman"/>
          <w:sz w:val="22"/>
        </w:rPr>
        <w:t xml:space="preserve"> Inc., 2016 BALCA LEXIS 927 (BALCA Dec. 9, 2016); </w:t>
      </w:r>
    </w:p>
    <w:p w14:paraId="68E56F70" w14:textId="77777777" w:rsidR="000A5331" w:rsidRPr="00DF7B06" w:rsidRDefault="000A5331" w:rsidP="000A5331">
      <w:pPr>
        <w:pStyle w:val="NoSpacing"/>
        <w:numPr>
          <w:ilvl w:val="0"/>
          <w:numId w:val="27"/>
        </w:numPr>
        <w:rPr>
          <w:rFonts w:cs="Times New Roman"/>
          <w:sz w:val="22"/>
        </w:rPr>
      </w:pPr>
      <w:r w:rsidRPr="00DF7B06">
        <w:rPr>
          <w:rFonts w:cs="Times New Roman"/>
          <w:sz w:val="22"/>
        </w:rPr>
        <w:t>Matter of Transamerica Life Insurance Co., 2017 BALCA LEXIS 258 (Feb. 22, 2017).</w:t>
      </w:r>
    </w:p>
    <w:p w14:paraId="44F115BF" w14:textId="77777777" w:rsidR="000A5331"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 xml:space="preserve">Matter of </w:t>
      </w:r>
      <w:proofErr w:type="spellStart"/>
      <w:r w:rsidRPr="00DF7B06">
        <w:rPr>
          <w:rFonts w:ascii="Times New Roman" w:hAnsi="Times New Roman" w:cs="Times New Roman"/>
          <w:sz w:val="22"/>
          <w:szCs w:val="22"/>
        </w:rPr>
        <w:t>Unisoft</w:t>
      </w:r>
      <w:proofErr w:type="spellEnd"/>
      <w:r w:rsidRPr="00DF7B06">
        <w:rPr>
          <w:rFonts w:ascii="Times New Roman" w:hAnsi="Times New Roman" w:cs="Times New Roman"/>
          <w:sz w:val="22"/>
          <w:szCs w:val="22"/>
        </w:rPr>
        <w:t xml:space="preserve"> International, Inc., 2016 BALCA LEXIS 982 (BALCA Dec. 29,2016); </w:t>
      </w:r>
    </w:p>
    <w:p w14:paraId="6FDC161A" w14:textId="77777777" w:rsidR="000A5331" w:rsidRPr="00DF7B06" w:rsidRDefault="000A5331" w:rsidP="000A5331">
      <w:pPr>
        <w:pStyle w:val="FootnoteText"/>
        <w:numPr>
          <w:ilvl w:val="0"/>
          <w:numId w:val="27"/>
        </w:numPr>
        <w:rPr>
          <w:rFonts w:ascii="Times New Roman" w:hAnsi="Times New Roman" w:cs="Times New Roman"/>
          <w:sz w:val="22"/>
          <w:szCs w:val="22"/>
        </w:rPr>
      </w:pPr>
      <w:r w:rsidRPr="00DF7B06">
        <w:rPr>
          <w:rFonts w:ascii="Times New Roman" w:hAnsi="Times New Roman" w:cs="Times New Roman"/>
          <w:sz w:val="22"/>
          <w:szCs w:val="22"/>
        </w:rPr>
        <w:t>Matter of Xerox Business Services, LLC, 2017 BALCA LEXIS 116 (Jan. 27, 2017).</w:t>
      </w:r>
    </w:p>
    <w:p w14:paraId="6DA7C109" w14:textId="1A62B374" w:rsidR="00B37375" w:rsidRDefault="00B37375" w:rsidP="004B257E">
      <w:pPr>
        <w:autoSpaceDE w:val="0"/>
        <w:autoSpaceDN w:val="0"/>
        <w:adjustRightInd w:val="0"/>
        <w:jc w:val="both"/>
        <w:rPr>
          <w:rFonts w:ascii="Times New Roman" w:hAnsi="Times New Roman" w:cs="Times New Roman"/>
          <w:b/>
          <w:bCs/>
        </w:rPr>
      </w:pPr>
    </w:p>
    <w:p w14:paraId="7C2CA32B" w14:textId="388BFE4E" w:rsidR="004B257E" w:rsidRPr="00A71B8E" w:rsidRDefault="004B257E" w:rsidP="004B257E">
      <w:pPr>
        <w:autoSpaceDE w:val="0"/>
        <w:autoSpaceDN w:val="0"/>
        <w:adjustRightInd w:val="0"/>
        <w:jc w:val="both"/>
        <w:rPr>
          <w:rFonts w:ascii="Times New Roman" w:hAnsi="Times New Roman" w:cs="Times New Roman"/>
        </w:rPr>
      </w:pPr>
      <w:r w:rsidRPr="00A71B8E">
        <w:rPr>
          <w:rFonts w:ascii="Times New Roman" w:hAnsi="Times New Roman" w:cs="Times New Roman"/>
          <w:b/>
          <w:bCs/>
        </w:rPr>
        <w:t xml:space="preserve">Ron Wada </w:t>
      </w:r>
      <w:r w:rsidRPr="00A71B8E">
        <w:rPr>
          <w:rFonts w:ascii="Times New Roman" w:hAnsi="Times New Roman" w:cs="Times New Roman"/>
        </w:rPr>
        <w:t xml:space="preserve">is Senior Counsel at </w:t>
      </w:r>
      <w:proofErr w:type="spellStart"/>
      <w:r w:rsidRPr="00A71B8E">
        <w:rPr>
          <w:rFonts w:ascii="Times New Roman" w:hAnsi="Times New Roman" w:cs="Times New Roman"/>
        </w:rPr>
        <w:t>Tafapolsky</w:t>
      </w:r>
      <w:proofErr w:type="spellEnd"/>
      <w:r w:rsidRPr="00A71B8E">
        <w:rPr>
          <w:rFonts w:ascii="Times New Roman" w:hAnsi="Times New Roman" w:cs="Times New Roman"/>
        </w:rPr>
        <w:t xml:space="preserve"> &amp; Smith LLP in San Francisco. He is also co-author of the treatise </w:t>
      </w:r>
      <w:r w:rsidRPr="00A71B8E">
        <w:rPr>
          <w:rFonts w:ascii="Times New Roman" w:hAnsi="Times New Roman" w:cs="Times New Roman"/>
          <w:i/>
          <w:iCs/>
        </w:rPr>
        <w:t>Immigration Law &amp; Procedure</w:t>
      </w:r>
      <w:r w:rsidRPr="00A71B8E">
        <w:rPr>
          <w:rFonts w:ascii="Times New Roman" w:hAnsi="Times New Roman" w:cs="Times New Roman"/>
        </w:rPr>
        <w:t xml:space="preserve">. Ron received the American Immigration Lawyers Association 2011 Edith Lowenstein award for advancing the practice of immigration law, and is a member of the editorial board of </w:t>
      </w:r>
      <w:r w:rsidRPr="00A71B8E">
        <w:rPr>
          <w:rFonts w:ascii="Times New Roman" w:hAnsi="Times New Roman" w:cs="Times New Roman"/>
          <w:i/>
          <w:iCs/>
        </w:rPr>
        <w:t>Bender’s Immigration Bulletin</w:t>
      </w:r>
      <w:r w:rsidRPr="00A71B8E">
        <w:rPr>
          <w:rFonts w:ascii="Times New Roman" w:hAnsi="Times New Roman" w:cs="Times New Roman"/>
        </w:rPr>
        <w:t>.</w:t>
      </w:r>
    </w:p>
    <w:p w14:paraId="577CA06E" w14:textId="77777777" w:rsidR="004B257E" w:rsidRPr="00A71B8E" w:rsidRDefault="004B257E" w:rsidP="004B257E">
      <w:pPr>
        <w:autoSpaceDE w:val="0"/>
        <w:autoSpaceDN w:val="0"/>
        <w:adjustRightInd w:val="0"/>
        <w:jc w:val="both"/>
        <w:rPr>
          <w:rFonts w:ascii="Times New Roman" w:hAnsi="Times New Roman" w:cs="Times New Roman"/>
        </w:rPr>
      </w:pPr>
    </w:p>
    <w:p w14:paraId="25068F63" w14:textId="6B94731C" w:rsidR="009731C2" w:rsidRPr="00524AD8" w:rsidRDefault="00B37375" w:rsidP="00524AD8">
      <w:pPr>
        <w:jc w:val="both"/>
        <w:rPr>
          <w:rFonts w:ascii="Times New Roman" w:hAnsi="Times New Roman" w:cs="Times New Roman"/>
        </w:rPr>
      </w:pPr>
      <w:r w:rsidRPr="009731C2">
        <w:rPr>
          <w:rFonts w:ascii="Times New Roman" w:hAnsi="Times New Roman" w:cs="Times New Roman"/>
          <w:b/>
        </w:rPr>
        <w:t>John C. Lemacks</w:t>
      </w:r>
      <w:r w:rsidR="00D529AE" w:rsidRPr="009731C2">
        <w:rPr>
          <w:rFonts w:ascii="Times New Roman" w:hAnsi="Times New Roman" w:cs="Times New Roman"/>
          <w:b/>
        </w:rPr>
        <w:t>, II</w:t>
      </w:r>
      <w:r w:rsidR="004B257E" w:rsidRPr="009731C2">
        <w:rPr>
          <w:rFonts w:ascii="Times New Roman" w:hAnsi="Times New Roman" w:cs="Times New Roman"/>
          <w:b/>
        </w:rPr>
        <w:t xml:space="preserve"> </w:t>
      </w:r>
      <w:r w:rsidR="004B257E" w:rsidRPr="009731C2">
        <w:rPr>
          <w:rFonts w:ascii="Times New Roman" w:hAnsi="Times New Roman" w:cs="Times New Roman"/>
        </w:rPr>
        <w:t xml:space="preserve">is </w:t>
      </w:r>
      <w:r w:rsidRPr="009731C2">
        <w:rPr>
          <w:rFonts w:ascii="Times New Roman" w:hAnsi="Times New Roman" w:cs="Times New Roman"/>
          <w:color w:val="000000"/>
        </w:rPr>
        <w:t xml:space="preserve">a </w:t>
      </w:r>
      <w:r w:rsidR="00D529AE" w:rsidRPr="009731C2">
        <w:rPr>
          <w:rFonts w:ascii="Times New Roman" w:hAnsi="Times New Roman" w:cs="Times New Roman"/>
          <w:color w:val="000000"/>
        </w:rPr>
        <w:t>P</w:t>
      </w:r>
      <w:r w:rsidRPr="009731C2">
        <w:rPr>
          <w:rFonts w:ascii="Times New Roman" w:hAnsi="Times New Roman" w:cs="Times New Roman"/>
          <w:color w:val="000000"/>
        </w:rPr>
        <w:t>artner</w:t>
      </w:r>
      <w:r w:rsidR="004B257E" w:rsidRPr="009731C2">
        <w:rPr>
          <w:rFonts w:ascii="Times New Roman" w:hAnsi="Times New Roman" w:cs="Times New Roman"/>
          <w:color w:val="000000"/>
        </w:rPr>
        <w:t xml:space="preserve"> at </w:t>
      </w:r>
      <w:proofErr w:type="spellStart"/>
      <w:r w:rsidR="004B257E" w:rsidRPr="009731C2">
        <w:rPr>
          <w:rFonts w:ascii="Times New Roman" w:hAnsi="Times New Roman" w:cs="Times New Roman"/>
          <w:color w:val="000000"/>
        </w:rPr>
        <w:t>Tafapolsky</w:t>
      </w:r>
      <w:proofErr w:type="spellEnd"/>
      <w:r w:rsidR="004B257E" w:rsidRPr="009731C2">
        <w:rPr>
          <w:rFonts w:ascii="Times New Roman" w:hAnsi="Times New Roman" w:cs="Times New Roman"/>
          <w:color w:val="000000"/>
        </w:rPr>
        <w:t xml:space="preserve"> &amp; </w:t>
      </w:r>
      <w:r w:rsidRPr="009731C2">
        <w:rPr>
          <w:rFonts w:ascii="Times New Roman" w:hAnsi="Times New Roman" w:cs="Times New Roman"/>
          <w:color w:val="000000"/>
        </w:rPr>
        <w:t>Smith LLP in Los Angeles</w:t>
      </w:r>
      <w:r w:rsidR="004B257E" w:rsidRPr="009731C2">
        <w:rPr>
          <w:rFonts w:ascii="Times New Roman" w:hAnsi="Times New Roman" w:cs="Times New Roman"/>
          <w:color w:val="000000"/>
        </w:rPr>
        <w:t>.</w:t>
      </w:r>
      <w:r w:rsidRPr="009731C2">
        <w:rPr>
          <w:rFonts w:ascii="Times New Roman" w:hAnsi="Times New Roman" w:cs="Times New Roman"/>
          <w:color w:val="000000"/>
        </w:rPr>
        <w:t xml:space="preserve"> </w:t>
      </w:r>
      <w:r w:rsidR="00D529AE" w:rsidRPr="009731C2">
        <w:rPr>
          <w:rFonts w:ascii="Times New Roman" w:hAnsi="Times New Roman" w:cs="Times New Roman"/>
          <w:color w:val="000000"/>
        </w:rPr>
        <w:t xml:space="preserve">John </w:t>
      </w:r>
      <w:r w:rsidR="007C5EBB" w:rsidRPr="009731C2">
        <w:rPr>
          <w:rFonts w:ascii="Times New Roman" w:hAnsi="Times New Roman" w:cs="Times New Roman"/>
          <w:color w:val="000000"/>
          <w:shd w:val="clear" w:color="auto" w:fill="FFFFFF"/>
        </w:rPr>
        <w:t>represents</w:t>
      </w:r>
      <w:r w:rsidR="009731C2">
        <w:rPr>
          <w:rFonts w:ascii="Times New Roman" w:hAnsi="Times New Roman" w:cs="Times New Roman"/>
          <w:color w:val="000000"/>
          <w:shd w:val="clear" w:color="auto" w:fill="FFFFFF"/>
        </w:rPr>
        <w:t xml:space="preserve"> </w:t>
      </w:r>
      <w:r w:rsidR="007C5EBB" w:rsidRPr="009731C2">
        <w:rPr>
          <w:rFonts w:ascii="Times New Roman" w:hAnsi="Times New Roman" w:cs="Times New Roman"/>
          <w:color w:val="000000"/>
          <w:shd w:val="clear" w:color="auto" w:fill="FFFFFF"/>
        </w:rPr>
        <w:t>medium and large multinational companies in a variety of industries</w:t>
      </w:r>
      <w:r w:rsidR="009731C2" w:rsidRPr="009731C2">
        <w:rPr>
          <w:rFonts w:ascii="Times New Roman" w:hAnsi="Times New Roman" w:cs="Times New Roman"/>
          <w:color w:val="000000"/>
          <w:shd w:val="clear" w:color="auto" w:fill="FFFFFF"/>
        </w:rPr>
        <w:t xml:space="preserve"> </w:t>
      </w:r>
      <w:r w:rsidR="009731C2">
        <w:rPr>
          <w:rFonts w:ascii="Times New Roman" w:hAnsi="Times New Roman" w:cs="Times New Roman"/>
          <w:color w:val="000000"/>
          <w:shd w:val="clear" w:color="auto" w:fill="FFFFFF"/>
        </w:rPr>
        <w:t xml:space="preserve">and is </w:t>
      </w:r>
      <w:r w:rsidR="009731C2">
        <w:rPr>
          <w:rFonts w:ascii="Times New Roman" w:hAnsi="Times New Roman" w:cs="Times New Roman"/>
        </w:rPr>
        <w:t>c</w:t>
      </w:r>
      <w:r w:rsidR="009731C2" w:rsidRPr="00524AD8">
        <w:rPr>
          <w:rFonts w:ascii="Times New Roman" w:hAnsi="Times New Roman" w:cs="Times New Roman"/>
        </w:rPr>
        <w:t xml:space="preserve">ertified </w:t>
      </w:r>
      <w:r w:rsidR="009731C2">
        <w:rPr>
          <w:rFonts w:ascii="Times New Roman" w:hAnsi="Times New Roman" w:cs="Times New Roman"/>
        </w:rPr>
        <w:t>as a Specialist in</w:t>
      </w:r>
      <w:r w:rsidR="009731C2" w:rsidRPr="00524AD8">
        <w:rPr>
          <w:rFonts w:ascii="Times New Roman" w:hAnsi="Times New Roman" w:cs="Times New Roman"/>
        </w:rPr>
        <w:t xml:space="preserve"> Immigration and Nationality Law</w:t>
      </w:r>
      <w:r w:rsidR="009731C2">
        <w:rPr>
          <w:rFonts w:ascii="Times New Roman" w:hAnsi="Times New Roman" w:cs="Times New Roman"/>
        </w:rPr>
        <w:t xml:space="preserve"> by the </w:t>
      </w:r>
      <w:r w:rsidR="009731C2" w:rsidRPr="00524AD8">
        <w:rPr>
          <w:rFonts w:ascii="Times New Roman" w:hAnsi="Times New Roman" w:cs="Times New Roman"/>
        </w:rPr>
        <w:t>State Bar of California</w:t>
      </w:r>
      <w:r w:rsidR="009731C2">
        <w:rPr>
          <w:rFonts w:ascii="Times New Roman" w:hAnsi="Times New Roman" w:cs="Times New Roman"/>
        </w:rPr>
        <w:t>,</w:t>
      </w:r>
      <w:r w:rsidR="009731C2" w:rsidRPr="00524AD8">
        <w:rPr>
          <w:rFonts w:ascii="Times New Roman" w:hAnsi="Times New Roman" w:cs="Times New Roman"/>
        </w:rPr>
        <w:t xml:space="preserve"> Board of Legal Specialization</w:t>
      </w:r>
      <w:r w:rsidR="009731C2">
        <w:rPr>
          <w:rFonts w:ascii="Times New Roman" w:hAnsi="Times New Roman" w:cs="Times New Roman"/>
        </w:rPr>
        <w:t>.</w:t>
      </w:r>
    </w:p>
    <w:p w14:paraId="64FA6DA8" w14:textId="251B1B31" w:rsidR="007B1A06" w:rsidRPr="00A71B8E" w:rsidRDefault="007B1A06" w:rsidP="004208A8">
      <w:pPr>
        <w:autoSpaceDE w:val="0"/>
        <w:autoSpaceDN w:val="0"/>
        <w:adjustRightInd w:val="0"/>
        <w:jc w:val="both"/>
        <w:rPr>
          <w:rFonts w:ascii="Times New Roman" w:hAnsi="Times New Roman" w:cs="Times New Roman"/>
        </w:rPr>
      </w:pPr>
    </w:p>
    <w:p w14:paraId="764DB2E6" w14:textId="77777777" w:rsidR="00793606" w:rsidRPr="00A71B8E" w:rsidRDefault="00793606" w:rsidP="004208A8">
      <w:pPr>
        <w:widowControl w:val="0"/>
        <w:autoSpaceDE w:val="0"/>
        <w:autoSpaceDN w:val="0"/>
        <w:adjustRightInd w:val="0"/>
        <w:jc w:val="both"/>
        <w:rPr>
          <w:rFonts w:ascii="Times New Roman" w:hAnsi="Times New Roman" w:cs="Times New Roman"/>
        </w:rPr>
      </w:pPr>
      <w:r w:rsidRPr="00A71B8E">
        <w:rPr>
          <w:rFonts w:ascii="Times New Roman" w:hAnsi="Times New Roman" w:cs="Times New Roman"/>
        </w:rPr>
        <w:t>The previous articles in this series are:</w:t>
      </w:r>
    </w:p>
    <w:p w14:paraId="1DD51ED6" w14:textId="77777777" w:rsidR="008C2896" w:rsidRPr="00A71B8E" w:rsidRDefault="008C2896">
      <w:pPr>
        <w:widowControl w:val="0"/>
        <w:autoSpaceDE w:val="0"/>
        <w:autoSpaceDN w:val="0"/>
        <w:adjustRightInd w:val="0"/>
        <w:jc w:val="both"/>
        <w:rPr>
          <w:rFonts w:ascii="Times New Roman" w:hAnsi="Times New Roman" w:cs="Times New Roman"/>
        </w:rPr>
      </w:pPr>
    </w:p>
    <w:p w14:paraId="17D57720" w14:textId="748A441E" w:rsidR="00FF32FE" w:rsidRPr="00AD269D" w:rsidRDefault="00FF32FE" w:rsidP="00AD269D">
      <w:pPr>
        <w:widowControl w:val="0"/>
        <w:autoSpaceDE w:val="0"/>
        <w:autoSpaceDN w:val="0"/>
        <w:adjustRightInd w:val="0"/>
        <w:jc w:val="both"/>
        <w:rPr>
          <w:rFonts w:ascii="Times New Roman" w:hAnsi="Times New Roman" w:cs="Times New Roman"/>
          <w:sz w:val="22"/>
          <w:szCs w:val="22"/>
        </w:rPr>
      </w:pPr>
      <w:r w:rsidRPr="00AD269D">
        <w:rPr>
          <w:rFonts w:ascii="Times New Roman" w:hAnsi="Times New Roman" w:cs="Times New Roman"/>
          <w:sz w:val="22"/>
          <w:szCs w:val="22"/>
        </w:rPr>
        <w:t>Ron Wada</w:t>
      </w:r>
      <w:r w:rsidR="00B74492">
        <w:rPr>
          <w:rFonts w:ascii="Times New Roman" w:hAnsi="Times New Roman" w:cs="Times New Roman"/>
          <w:sz w:val="22"/>
          <w:szCs w:val="22"/>
        </w:rPr>
        <w:t xml:space="preserve"> and John C. Lemacks, II</w:t>
      </w:r>
      <w:r w:rsidRPr="00AD269D">
        <w:rPr>
          <w:rFonts w:ascii="Times New Roman" w:hAnsi="Times New Roman" w:cs="Times New Roman"/>
          <w:sz w:val="22"/>
          <w:szCs w:val="22"/>
        </w:rPr>
        <w:t xml:space="preserve">, </w:t>
      </w:r>
      <w:r w:rsidRPr="00AD269D">
        <w:rPr>
          <w:rFonts w:ascii="Times New Roman" w:hAnsi="Times New Roman" w:cs="Times New Roman"/>
          <w:i/>
          <w:sz w:val="22"/>
          <w:szCs w:val="22"/>
        </w:rPr>
        <w:t>Shaping the Future of PERM–2Q 2017</w:t>
      </w:r>
      <w:r w:rsidR="00AD269D">
        <w:rPr>
          <w:rFonts w:ascii="Times New Roman" w:hAnsi="Times New Roman" w:cs="Times New Roman"/>
          <w:sz w:val="22"/>
          <w:szCs w:val="22"/>
        </w:rPr>
        <w:t xml:space="preserve">, 22 Bender’s </w:t>
      </w:r>
      <w:proofErr w:type="spellStart"/>
      <w:r w:rsidR="00AD269D">
        <w:rPr>
          <w:rFonts w:ascii="Times New Roman" w:hAnsi="Times New Roman" w:cs="Times New Roman"/>
          <w:sz w:val="22"/>
          <w:szCs w:val="22"/>
        </w:rPr>
        <w:t>Immigr</w:t>
      </w:r>
      <w:proofErr w:type="spellEnd"/>
      <w:r w:rsidR="00AD269D">
        <w:rPr>
          <w:rFonts w:ascii="Times New Roman" w:hAnsi="Times New Roman" w:cs="Times New Roman"/>
          <w:sz w:val="22"/>
          <w:szCs w:val="22"/>
        </w:rPr>
        <w:t>. Bull 933 (Aug.</w:t>
      </w:r>
      <w:r w:rsidRPr="00AD269D">
        <w:rPr>
          <w:rFonts w:ascii="Times New Roman" w:hAnsi="Times New Roman" w:cs="Times New Roman"/>
          <w:sz w:val="22"/>
          <w:szCs w:val="22"/>
        </w:rPr>
        <w:t xml:space="preserve"> 15, 2017), covering: ● DOL Section K FAQ Not a Valid Basis for Denial; ● Motion to Expedite Based on Humanitarian Need Accepted by BALCA; ● Rejection of Applicants Based on Subjective Job Requirements Fatal; ● Late Attempts to Contact Job Applicants Indicates Bad Faith; ● Contradictory NOF Requirements Under Supervised Recruitment; ● </w:t>
      </w:r>
      <w:r w:rsidR="00AD269D" w:rsidRPr="00AD269D">
        <w:rPr>
          <w:rFonts w:ascii="Times New Roman" w:hAnsi="Times New Roman" w:cs="Times New Roman"/>
          <w:sz w:val="22"/>
          <w:szCs w:val="22"/>
        </w:rPr>
        <w:t>Kellogg Language + SVP Rules = Duty to Interview</w:t>
      </w:r>
      <w:r w:rsidR="00AD269D">
        <w:rPr>
          <w:rFonts w:ascii="Times New Roman" w:hAnsi="Times New Roman" w:cs="Times New Roman"/>
          <w:sz w:val="22"/>
          <w:szCs w:val="22"/>
        </w:rPr>
        <w:t>.</w:t>
      </w:r>
    </w:p>
    <w:p w14:paraId="2555FF9B" w14:textId="77777777" w:rsidR="00FF32FE" w:rsidRDefault="00FF32FE" w:rsidP="00524AD8">
      <w:pPr>
        <w:pStyle w:val="NoSpacing"/>
        <w:jc w:val="both"/>
        <w:rPr>
          <w:rFonts w:cs="Times New Roman"/>
          <w:sz w:val="22"/>
        </w:rPr>
      </w:pPr>
    </w:p>
    <w:p w14:paraId="6BDEE38C" w14:textId="7347D226" w:rsidR="007C5EBB" w:rsidRPr="00272905" w:rsidRDefault="007C5EBB" w:rsidP="00524AD8">
      <w:pPr>
        <w:pStyle w:val="NoSpacing"/>
        <w:jc w:val="both"/>
        <w:rPr>
          <w:rFonts w:cs="Times New Roman"/>
          <w:i/>
          <w:sz w:val="22"/>
        </w:rPr>
      </w:pPr>
      <w:r>
        <w:rPr>
          <w:rFonts w:cs="Times New Roman"/>
          <w:sz w:val="22"/>
        </w:rPr>
        <w:t>Ron Wada</w:t>
      </w:r>
      <w:r w:rsidRPr="000710B2">
        <w:rPr>
          <w:rFonts w:cs="Times New Roman"/>
          <w:sz w:val="22"/>
        </w:rPr>
        <w:t xml:space="preserve">, </w:t>
      </w:r>
      <w:r>
        <w:rPr>
          <w:rFonts w:cs="Times New Roman"/>
          <w:i/>
          <w:sz w:val="22"/>
        </w:rPr>
        <w:t>Shaping the Future of PERM–1Q 2017</w:t>
      </w:r>
      <w:r w:rsidR="003A55EC">
        <w:rPr>
          <w:rFonts w:cs="Times New Roman"/>
          <w:sz w:val="22"/>
        </w:rPr>
        <w:t xml:space="preserve">, 22 Bender’s </w:t>
      </w:r>
      <w:proofErr w:type="spellStart"/>
      <w:r w:rsidR="003A55EC">
        <w:rPr>
          <w:rFonts w:cs="Times New Roman"/>
          <w:sz w:val="22"/>
        </w:rPr>
        <w:t>Immigr</w:t>
      </w:r>
      <w:proofErr w:type="spellEnd"/>
      <w:r w:rsidR="003A55EC">
        <w:rPr>
          <w:rFonts w:cs="Times New Roman"/>
          <w:sz w:val="22"/>
        </w:rPr>
        <w:t>. Bull 649 (May</w:t>
      </w:r>
      <w:r w:rsidRPr="000710B2">
        <w:rPr>
          <w:rFonts w:cs="Times New Roman"/>
          <w:sz w:val="22"/>
        </w:rPr>
        <w:t xml:space="preserve"> 1</w:t>
      </w:r>
      <w:r>
        <w:rPr>
          <w:rFonts w:cs="Times New Roman"/>
          <w:sz w:val="22"/>
        </w:rPr>
        <w:t>5, 2017</w:t>
      </w:r>
      <w:r w:rsidRPr="000710B2">
        <w:rPr>
          <w:rFonts w:cs="Times New Roman"/>
          <w:sz w:val="22"/>
        </w:rPr>
        <w:t>), covering: ● I</w:t>
      </w:r>
      <w:r>
        <w:rPr>
          <w:rFonts w:cs="Times New Roman"/>
          <w:sz w:val="22"/>
        </w:rPr>
        <w:t>mproper Rejection of U.S. Applicants (continued from 4Q2016);</w:t>
      </w:r>
      <w:r w:rsidRPr="000710B2">
        <w:rPr>
          <w:rFonts w:cs="Times New Roman"/>
          <w:sz w:val="22"/>
        </w:rPr>
        <w:t xml:space="preserve"> ● </w:t>
      </w:r>
      <w:r>
        <w:rPr>
          <w:rFonts w:cs="Times New Roman"/>
          <w:sz w:val="22"/>
        </w:rPr>
        <w:t>New Decisions Endorsing Use of Broad Degree Equivalency Language</w:t>
      </w:r>
      <w:r w:rsidRPr="000710B2">
        <w:rPr>
          <w:rFonts w:cs="Times New Roman"/>
          <w:sz w:val="22"/>
        </w:rPr>
        <w:t xml:space="preserve">; ● </w:t>
      </w:r>
      <w:r w:rsidR="003A55EC">
        <w:rPr>
          <w:rFonts w:cs="Times New Roman"/>
          <w:sz w:val="22"/>
        </w:rPr>
        <w:t xml:space="preserve">Instructions to Laid-Off Employees to Apply for Alternative Positions Does </w:t>
      </w:r>
      <w:proofErr w:type="gramStart"/>
      <w:r w:rsidR="003A55EC">
        <w:rPr>
          <w:rFonts w:cs="Times New Roman"/>
          <w:sz w:val="22"/>
        </w:rPr>
        <w:t>not</w:t>
      </w:r>
      <w:proofErr w:type="gramEnd"/>
      <w:r w:rsidR="003A55EC">
        <w:rPr>
          <w:rFonts w:cs="Times New Roman"/>
          <w:sz w:val="22"/>
        </w:rPr>
        <w:t xml:space="preserve"> Satisfy the PERM “Notify and Consider” Requirement; </w:t>
      </w:r>
      <w:r w:rsidRPr="000710B2">
        <w:rPr>
          <w:rFonts w:cs="Times New Roman"/>
          <w:sz w:val="22"/>
        </w:rPr>
        <w:t xml:space="preserve">● </w:t>
      </w:r>
      <w:r w:rsidR="003A55EC">
        <w:rPr>
          <w:rFonts w:cs="Times New Roman"/>
          <w:sz w:val="22"/>
        </w:rPr>
        <w:t xml:space="preserve">New decisions following </w:t>
      </w:r>
      <w:r w:rsidR="003A55EC">
        <w:rPr>
          <w:rFonts w:cs="Times New Roman"/>
          <w:i/>
          <w:sz w:val="22"/>
        </w:rPr>
        <w:t xml:space="preserve">Matter of </w:t>
      </w:r>
      <w:proofErr w:type="spellStart"/>
      <w:r w:rsidR="003A55EC">
        <w:rPr>
          <w:rFonts w:cs="Times New Roman"/>
          <w:i/>
          <w:sz w:val="22"/>
        </w:rPr>
        <w:t>SmartZip</w:t>
      </w:r>
      <w:proofErr w:type="spellEnd"/>
      <w:r w:rsidR="003A55EC">
        <w:rPr>
          <w:rFonts w:cs="Times New Roman"/>
          <w:i/>
          <w:sz w:val="22"/>
        </w:rPr>
        <w:t xml:space="preserve"> Analytics </w:t>
      </w:r>
      <w:r w:rsidR="003A55EC">
        <w:rPr>
          <w:rFonts w:cs="Times New Roman"/>
          <w:sz w:val="22"/>
        </w:rPr>
        <w:t xml:space="preserve">and </w:t>
      </w:r>
      <w:r w:rsidR="003A55EC">
        <w:rPr>
          <w:rFonts w:cs="Times New Roman"/>
          <w:i/>
          <w:sz w:val="22"/>
        </w:rPr>
        <w:t xml:space="preserve">Matter of </w:t>
      </w:r>
      <w:proofErr w:type="spellStart"/>
      <w:r w:rsidR="003A55EC">
        <w:rPr>
          <w:rFonts w:cs="Times New Roman"/>
          <w:i/>
          <w:sz w:val="22"/>
        </w:rPr>
        <w:t>Tek</w:t>
      </w:r>
      <w:proofErr w:type="spellEnd"/>
      <w:r w:rsidR="003A55EC">
        <w:rPr>
          <w:rFonts w:cs="Times New Roman"/>
          <w:i/>
          <w:sz w:val="22"/>
        </w:rPr>
        <w:t xml:space="preserve"> Services</w:t>
      </w:r>
      <w:r w:rsidRPr="000710B2">
        <w:rPr>
          <w:rFonts w:cs="Times New Roman"/>
          <w:sz w:val="22"/>
        </w:rPr>
        <w:t>.</w:t>
      </w:r>
    </w:p>
    <w:p w14:paraId="462DF362" w14:textId="77777777" w:rsidR="007C5EBB" w:rsidRDefault="007C5EBB" w:rsidP="00524AD8">
      <w:pPr>
        <w:pStyle w:val="NoSpacing"/>
        <w:jc w:val="both"/>
        <w:rPr>
          <w:rFonts w:cs="Times New Roman"/>
          <w:sz w:val="22"/>
        </w:rPr>
      </w:pPr>
    </w:p>
    <w:p w14:paraId="35AFBE45" w14:textId="5D8804D3" w:rsidR="007C5EBB" w:rsidRPr="00272905" w:rsidRDefault="007C5EBB" w:rsidP="00524AD8">
      <w:pPr>
        <w:pStyle w:val="NoSpacing"/>
        <w:jc w:val="both"/>
        <w:rPr>
          <w:rFonts w:cs="Times New Roman"/>
          <w:i/>
          <w:sz w:val="22"/>
        </w:rPr>
      </w:pPr>
      <w:r w:rsidRPr="000710B2">
        <w:rPr>
          <w:rFonts w:cs="Times New Roman"/>
          <w:sz w:val="22"/>
        </w:rPr>
        <w:t xml:space="preserve">Ron Wada and Tu Cam Castillo, </w:t>
      </w:r>
      <w:r>
        <w:rPr>
          <w:rFonts w:cs="Times New Roman"/>
          <w:i/>
          <w:sz w:val="22"/>
        </w:rPr>
        <w:t>Shaping the Future of PERM–4</w:t>
      </w:r>
      <w:r w:rsidRPr="000710B2">
        <w:rPr>
          <w:rFonts w:cs="Times New Roman"/>
          <w:i/>
          <w:sz w:val="22"/>
        </w:rPr>
        <w:t>Q 2016</w:t>
      </w:r>
      <w:r>
        <w:rPr>
          <w:rFonts w:cs="Times New Roman"/>
          <w:sz w:val="22"/>
        </w:rPr>
        <w:t xml:space="preserve">, 22 Bender’s </w:t>
      </w:r>
      <w:proofErr w:type="spellStart"/>
      <w:r>
        <w:rPr>
          <w:rFonts w:cs="Times New Roman"/>
          <w:sz w:val="22"/>
        </w:rPr>
        <w:t>Immigr</w:t>
      </w:r>
      <w:proofErr w:type="spellEnd"/>
      <w:r>
        <w:rPr>
          <w:rFonts w:cs="Times New Roman"/>
          <w:sz w:val="22"/>
        </w:rPr>
        <w:t>. Bull 205 (Feb</w:t>
      </w:r>
      <w:r w:rsidRPr="000710B2">
        <w:rPr>
          <w:rFonts w:cs="Times New Roman"/>
          <w:sz w:val="22"/>
        </w:rPr>
        <w:t>. 1</w:t>
      </w:r>
      <w:r>
        <w:rPr>
          <w:rFonts w:cs="Times New Roman"/>
          <w:sz w:val="22"/>
        </w:rPr>
        <w:t>5, 2017</w:t>
      </w:r>
      <w:r w:rsidRPr="000710B2">
        <w:rPr>
          <w:rFonts w:cs="Times New Roman"/>
          <w:sz w:val="22"/>
        </w:rPr>
        <w:t>), covering: ● I</w:t>
      </w:r>
      <w:r>
        <w:rPr>
          <w:rFonts w:cs="Times New Roman"/>
          <w:sz w:val="22"/>
        </w:rPr>
        <w:t>mproper Rejection of U.S. Applicants;</w:t>
      </w:r>
      <w:r w:rsidRPr="000710B2">
        <w:rPr>
          <w:rFonts w:cs="Times New Roman"/>
          <w:sz w:val="22"/>
        </w:rPr>
        <w:t xml:space="preserve"> ● H</w:t>
      </w:r>
      <w:r>
        <w:rPr>
          <w:rFonts w:cs="Times New Roman"/>
          <w:sz w:val="22"/>
        </w:rPr>
        <w:t>.14 Special Requirements Need Not Be Quantified</w:t>
      </w:r>
      <w:r w:rsidRPr="000710B2">
        <w:rPr>
          <w:rFonts w:cs="Times New Roman"/>
          <w:sz w:val="22"/>
        </w:rPr>
        <w:t xml:space="preserve">; ● </w:t>
      </w:r>
      <w:r>
        <w:rPr>
          <w:rFonts w:cs="Times New Roman"/>
          <w:i/>
          <w:sz w:val="22"/>
        </w:rPr>
        <w:t xml:space="preserve">Kellogg </w:t>
      </w:r>
      <w:r>
        <w:rPr>
          <w:rFonts w:cs="Times New Roman"/>
          <w:sz w:val="22"/>
        </w:rPr>
        <w:t>Language OK as Degree-Equivalency Language</w:t>
      </w:r>
      <w:r w:rsidRPr="000710B2">
        <w:rPr>
          <w:rFonts w:cs="Times New Roman"/>
          <w:sz w:val="22"/>
        </w:rPr>
        <w:t xml:space="preserve">; ● </w:t>
      </w:r>
      <w:r>
        <w:rPr>
          <w:rFonts w:cs="Times New Roman"/>
          <w:sz w:val="22"/>
        </w:rPr>
        <w:t>CO Not Permitted to Change Grounds for Denial on Reconsideration</w:t>
      </w:r>
      <w:r w:rsidRPr="000710B2">
        <w:rPr>
          <w:rFonts w:cs="Times New Roman"/>
          <w:sz w:val="22"/>
        </w:rPr>
        <w:t>.</w:t>
      </w:r>
    </w:p>
    <w:p w14:paraId="0B65DAD0" w14:textId="77777777" w:rsidR="007C5EBB" w:rsidRDefault="007C5EBB">
      <w:pPr>
        <w:widowControl w:val="0"/>
        <w:autoSpaceDE w:val="0"/>
        <w:autoSpaceDN w:val="0"/>
        <w:adjustRightInd w:val="0"/>
        <w:jc w:val="both"/>
        <w:rPr>
          <w:rFonts w:ascii="Times New Roman" w:hAnsi="Times New Roman" w:cs="Times New Roman"/>
          <w:sz w:val="22"/>
          <w:szCs w:val="22"/>
        </w:rPr>
      </w:pPr>
    </w:p>
    <w:p w14:paraId="06193007" w14:textId="322332EF" w:rsidR="000710B2" w:rsidRPr="000710B2" w:rsidRDefault="000710B2">
      <w:pPr>
        <w:widowControl w:val="0"/>
        <w:autoSpaceDE w:val="0"/>
        <w:autoSpaceDN w:val="0"/>
        <w:adjustRightInd w:val="0"/>
        <w:jc w:val="both"/>
        <w:rPr>
          <w:rFonts w:ascii="Times New Roman" w:hAnsi="Times New Roman" w:cs="Times New Roman"/>
          <w:sz w:val="22"/>
          <w:szCs w:val="22"/>
        </w:rPr>
      </w:pPr>
      <w:r w:rsidRPr="000710B2">
        <w:rPr>
          <w:rFonts w:ascii="Times New Roman" w:hAnsi="Times New Roman" w:cs="Times New Roman"/>
          <w:sz w:val="22"/>
          <w:szCs w:val="22"/>
        </w:rPr>
        <w:t xml:space="preserve">Ron Wada and </w:t>
      </w:r>
      <w:proofErr w:type="spellStart"/>
      <w:r w:rsidRPr="000710B2">
        <w:rPr>
          <w:rFonts w:ascii="Times New Roman" w:hAnsi="Times New Roman" w:cs="Times New Roman"/>
          <w:sz w:val="22"/>
          <w:szCs w:val="22"/>
        </w:rPr>
        <w:t>Mailine</w:t>
      </w:r>
      <w:proofErr w:type="spellEnd"/>
      <w:r w:rsidRPr="000710B2">
        <w:rPr>
          <w:rFonts w:ascii="Times New Roman" w:hAnsi="Times New Roman" w:cs="Times New Roman"/>
          <w:sz w:val="22"/>
          <w:szCs w:val="22"/>
        </w:rPr>
        <w:t xml:space="preserve"> Wong, </w:t>
      </w:r>
      <w:r w:rsidRPr="000710B2">
        <w:rPr>
          <w:rFonts w:ascii="Times New Roman" w:hAnsi="Times New Roman" w:cs="Times New Roman"/>
          <w:i/>
          <w:sz w:val="22"/>
          <w:szCs w:val="22"/>
        </w:rPr>
        <w:t>Shaping the Future of PERM–3Q 2016</w:t>
      </w:r>
      <w:r w:rsidRPr="000710B2">
        <w:rPr>
          <w:rFonts w:ascii="Times New Roman" w:hAnsi="Times New Roman" w:cs="Times New Roman"/>
          <w:sz w:val="22"/>
          <w:szCs w:val="22"/>
        </w:rPr>
        <w:t xml:space="preserve">, 21 Bender’s </w:t>
      </w:r>
      <w:proofErr w:type="spellStart"/>
      <w:r w:rsidRPr="000710B2">
        <w:rPr>
          <w:rFonts w:ascii="Times New Roman" w:hAnsi="Times New Roman" w:cs="Times New Roman"/>
          <w:sz w:val="22"/>
          <w:szCs w:val="22"/>
        </w:rPr>
        <w:t>Immigr</w:t>
      </w:r>
      <w:proofErr w:type="spellEnd"/>
      <w:r w:rsidRPr="000710B2">
        <w:rPr>
          <w:rFonts w:ascii="Times New Roman" w:hAnsi="Times New Roman" w:cs="Times New Roman"/>
          <w:sz w:val="22"/>
          <w:szCs w:val="22"/>
        </w:rPr>
        <w:t xml:space="preserve">. Bull 1397 (Nov. 15, 2016), covering: ● Standards for Disqualification of U.S. Workers; ● Standards for Recruitment Report Content; ● Strict Standards Apply to Both Applicants and the Certifying Officer; ● Broad Degree Equivalency Language Ruled Acceptable in Multiple Cases. </w:t>
      </w:r>
    </w:p>
    <w:p w14:paraId="0F5439A6" w14:textId="77777777" w:rsidR="000710B2" w:rsidRPr="000710B2" w:rsidRDefault="000710B2">
      <w:pPr>
        <w:widowControl w:val="0"/>
        <w:autoSpaceDE w:val="0"/>
        <w:autoSpaceDN w:val="0"/>
        <w:adjustRightInd w:val="0"/>
        <w:jc w:val="both"/>
        <w:rPr>
          <w:rFonts w:ascii="Times New Roman" w:hAnsi="Times New Roman" w:cs="Times New Roman"/>
          <w:sz w:val="22"/>
          <w:szCs w:val="22"/>
        </w:rPr>
      </w:pPr>
    </w:p>
    <w:p w14:paraId="0125BFE4" w14:textId="204355C1" w:rsidR="000710B2" w:rsidRPr="000710B2" w:rsidRDefault="000710B2" w:rsidP="00524AD8">
      <w:pPr>
        <w:pStyle w:val="NoSpacing"/>
        <w:jc w:val="both"/>
        <w:rPr>
          <w:rFonts w:cs="Times New Roman"/>
          <w:i/>
          <w:sz w:val="22"/>
        </w:rPr>
      </w:pPr>
      <w:r w:rsidRPr="000710B2">
        <w:rPr>
          <w:rFonts w:cs="Times New Roman"/>
          <w:sz w:val="22"/>
        </w:rPr>
        <w:t xml:space="preserve">Ron Wada and Tu Cam Castillo, </w:t>
      </w:r>
      <w:r w:rsidRPr="000710B2">
        <w:rPr>
          <w:rFonts w:cs="Times New Roman"/>
          <w:i/>
          <w:sz w:val="22"/>
        </w:rPr>
        <w:t>Shaping the Future of PERM–2Q 2016</w:t>
      </w:r>
      <w:r w:rsidRPr="000710B2">
        <w:rPr>
          <w:rFonts w:cs="Times New Roman"/>
          <w:sz w:val="22"/>
        </w:rPr>
        <w:t xml:space="preserve">, 21 Bender’s </w:t>
      </w:r>
      <w:proofErr w:type="spellStart"/>
      <w:r w:rsidRPr="000710B2">
        <w:rPr>
          <w:rFonts w:cs="Times New Roman"/>
          <w:sz w:val="22"/>
        </w:rPr>
        <w:t>Immigr</w:t>
      </w:r>
      <w:proofErr w:type="spellEnd"/>
      <w:r w:rsidRPr="000710B2">
        <w:rPr>
          <w:rFonts w:cs="Times New Roman"/>
          <w:sz w:val="22"/>
        </w:rPr>
        <w:t>. Bull 999 (Sept. 1, 2016), covering: ● Invalid Grounds for Denial – Notable Post-</w:t>
      </w:r>
      <w:r w:rsidRPr="000710B2">
        <w:rPr>
          <w:rFonts w:cs="Times New Roman"/>
          <w:i/>
          <w:sz w:val="22"/>
        </w:rPr>
        <w:t xml:space="preserve">Symantec </w:t>
      </w:r>
      <w:r w:rsidRPr="000710B2">
        <w:rPr>
          <w:rFonts w:cs="Times New Roman"/>
          <w:sz w:val="22"/>
        </w:rPr>
        <w:t>Decisions; ● Home Office Opportunities; ● Travel Requirements vs Relocation; ● Broad Degree Equivalency Language Ruled Acceptable.</w:t>
      </w:r>
    </w:p>
    <w:p w14:paraId="34ED13B1" w14:textId="77777777" w:rsidR="000710B2" w:rsidRDefault="000710B2">
      <w:pPr>
        <w:widowControl w:val="0"/>
        <w:autoSpaceDE w:val="0"/>
        <w:autoSpaceDN w:val="0"/>
        <w:adjustRightInd w:val="0"/>
        <w:jc w:val="both"/>
        <w:rPr>
          <w:rFonts w:ascii="Times New Roman" w:hAnsi="Times New Roman" w:cs="Times New Roman"/>
          <w:sz w:val="22"/>
          <w:szCs w:val="22"/>
        </w:rPr>
      </w:pPr>
    </w:p>
    <w:p w14:paraId="749FBC29" w14:textId="203F3BFD" w:rsidR="00752D01" w:rsidRPr="000710B2" w:rsidRDefault="00752D01" w:rsidP="00524AD8">
      <w:pPr>
        <w:pStyle w:val="NoSpacing"/>
        <w:jc w:val="both"/>
        <w:rPr>
          <w:i/>
          <w:sz w:val="22"/>
        </w:rPr>
      </w:pPr>
      <w:r w:rsidRPr="000710B2">
        <w:rPr>
          <w:sz w:val="22"/>
        </w:rPr>
        <w:t xml:space="preserve">Ron Wada, </w:t>
      </w:r>
      <w:r w:rsidRPr="000710B2">
        <w:rPr>
          <w:i/>
          <w:sz w:val="22"/>
        </w:rPr>
        <w:t>Shaping the Future of PERM–1Q 2016</w:t>
      </w:r>
      <w:r w:rsidRPr="000710B2">
        <w:rPr>
          <w:sz w:val="22"/>
        </w:rPr>
        <w:t xml:space="preserve">, 21 Bender’s </w:t>
      </w:r>
      <w:proofErr w:type="spellStart"/>
      <w:r w:rsidRPr="000710B2">
        <w:rPr>
          <w:sz w:val="22"/>
        </w:rPr>
        <w:t>Immigr</w:t>
      </w:r>
      <w:proofErr w:type="spellEnd"/>
      <w:r w:rsidRPr="000710B2">
        <w:rPr>
          <w:sz w:val="22"/>
        </w:rPr>
        <w:t xml:space="preserve">. Bull 543 (May. 15, 2016), covering: </w:t>
      </w:r>
      <w:r w:rsidRPr="000710B2">
        <w:rPr>
          <w:rFonts w:cs="Times New Roman"/>
          <w:sz w:val="22"/>
        </w:rPr>
        <w:t>●</w:t>
      </w:r>
      <w:r w:rsidRPr="000710B2">
        <w:rPr>
          <w:sz w:val="22"/>
        </w:rPr>
        <w:t xml:space="preserve"> Post-</w:t>
      </w:r>
      <w:r w:rsidRPr="000710B2">
        <w:rPr>
          <w:i/>
          <w:sz w:val="22"/>
        </w:rPr>
        <w:t xml:space="preserve">Symantec, </w:t>
      </w:r>
      <w:r w:rsidRPr="000710B2">
        <w:rPr>
          <w:sz w:val="22"/>
        </w:rPr>
        <w:t xml:space="preserve">BALCA Addresses the Remaining Test for Recruitment Inconsistencies Under 20 C.F.R. § 656.10(c)(8); </w:t>
      </w:r>
      <w:r w:rsidRPr="000710B2">
        <w:rPr>
          <w:rFonts w:cs="Times New Roman"/>
          <w:sz w:val="22"/>
        </w:rPr>
        <w:t>●</w:t>
      </w:r>
      <w:r w:rsidRPr="000710B2">
        <w:rPr>
          <w:sz w:val="22"/>
        </w:rPr>
        <w:t xml:space="preserve"> Conflict Between Form 9089 and Form 9089 </w:t>
      </w:r>
      <w:r w:rsidRPr="000710B2">
        <w:rPr>
          <w:i/>
          <w:sz w:val="22"/>
        </w:rPr>
        <w:t>Instructions</w:t>
      </w:r>
      <w:r w:rsidRPr="000710B2">
        <w:rPr>
          <w:sz w:val="22"/>
        </w:rPr>
        <w:t xml:space="preserve"> for Alternative Job Requirements; </w:t>
      </w:r>
      <w:r w:rsidRPr="000710B2">
        <w:rPr>
          <w:rFonts w:cs="Times New Roman"/>
          <w:sz w:val="22"/>
        </w:rPr>
        <w:t>●</w:t>
      </w:r>
      <w:r w:rsidRPr="000710B2">
        <w:rPr>
          <w:sz w:val="22"/>
        </w:rPr>
        <w:t xml:space="preserve"> CO’s Vaguely Stated Audit Questions Make Proper Response Impossible</w:t>
      </w:r>
      <w:r w:rsidRPr="000710B2">
        <w:rPr>
          <w:rFonts w:hint="eastAsia"/>
          <w:sz w:val="22"/>
        </w:rPr>
        <w:t xml:space="preserve">; </w:t>
      </w:r>
      <w:r w:rsidRPr="000710B2">
        <w:rPr>
          <w:rFonts w:cs="Times New Roman"/>
          <w:sz w:val="22"/>
        </w:rPr>
        <w:t>●</w:t>
      </w:r>
      <w:r w:rsidRPr="000710B2">
        <w:rPr>
          <w:rFonts w:hint="eastAsia"/>
          <w:sz w:val="22"/>
        </w:rPr>
        <w:t xml:space="preserve"> </w:t>
      </w:r>
      <w:r w:rsidRPr="000710B2">
        <w:rPr>
          <w:sz w:val="22"/>
        </w:rPr>
        <w:t>No Presumption of Delivery of Certified Form 9089.</w:t>
      </w:r>
    </w:p>
    <w:p w14:paraId="008814E9" w14:textId="77777777" w:rsidR="00752D01" w:rsidRDefault="00752D01">
      <w:pPr>
        <w:widowControl w:val="0"/>
        <w:autoSpaceDE w:val="0"/>
        <w:autoSpaceDN w:val="0"/>
        <w:adjustRightInd w:val="0"/>
        <w:jc w:val="both"/>
        <w:rPr>
          <w:rFonts w:ascii="Times New Roman" w:hAnsi="Times New Roman" w:cs="Times New Roman"/>
          <w:sz w:val="22"/>
          <w:szCs w:val="22"/>
        </w:rPr>
      </w:pPr>
    </w:p>
    <w:p w14:paraId="3338DF97" w14:textId="77777777" w:rsidR="00752D01" w:rsidRPr="000D7792" w:rsidRDefault="00752D01">
      <w:pPr>
        <w:widowControl w:val="0"/>
        <w:autoSpaceDE w:val="0"/>
        <w:autoSpaceDN w:val="0"/>
        <w:adjustRightInd w:val="0"/>
        <w:jc w:val="both"/>
        <w:rPr>
          <w:rFonts w:ascii="Times New Roman" w:hAnsi="Times New Roman" w:cs="Times New Roman"/>
          <w:i/>
          <w:sz w:val="22"/>
          <w:szCs w:val="22"/>
        </w:rPr>
      </w:pPr>
      <w:r w:rsidRPr="000D7792">
        <w:rPr>
          <w:rFonts w:ascii="Times New Roman" w:hAnsi="Times New Roman" w:cs="Times New Roman"/>
          <w:sz w:val="22"/>
          <w:szCs w:val="22"/>
        </w:rPr>
        <w:t xml:space="preserve">Ron Wada, </w:t>
      </w:r>
      <w:r w:rsidRPr="000D7792">
        <w:rPr>
          <w:rFonts w:ascii="Times New Roman" w:hAnsi="Times New Roman" w:cs="Times New Roman"/>
          <w:i/>
          <w:sz w:val="22"/>
          <w:szCs w:val="22"/>
        </w:rPr>
        <w:t>Shaping the Future of PERM–4Q 2015</w:t>
      </w:r>
      <w:r w:rsidRPr="000D7792">
        <w:rPr>
          <w:rFonts w:ascii="Times New Roman" w:hAnsi="Times New Roman" w:cs="Times New Roman"/>
          <w:sz w:val="22"/>
          <w:szCs w:val="22"/>
        </w:rPr>
        <w:t xml:space="preserve">, 21 Bender’s </w:t>
      </w:r>
      <w:proofErr w:type="spellStart"/>
      <w:r w:rsidRPr="000D7792">
        <w:rPr>
          <w:rFonts w:ascii="Times New Roman" w:hAnsi="Times New Roman" w:cs="Times New Roman"/>
          <w:sz w:val="22"/>
          <w:szCs w:val="22"/>
        </w:rPr>
        <w:t>Immigr</w:t>
      </w:r>
      <w:proofErr w:type="spellEnd"/>
      <w:r w:rsidRPr="000D7792">
        <w:rPr>
          <w:rFonts w:ascii="Times New Roman" w:hAnsi="Times New Roman" w:cs="Times New Roman"/>
          <w:sz w:val="22"/>
          <w:szCs w:val="22"/>
        </w:rPr>
        <w:t xml:space="preserve">. Bull 277 (Mar. 1, 2016), covering: ● Documenting a U.S. Applicant’s Withdrawal of their Job Application Submitted in Response to PERM Recruitment; ● Grounds for Disqualification of PERM Job Applicants; ● Misinterpretation of Alternative Job Requirements Due to Inadequate ETA Form 9089; ● The Notice of Filing Does Not Have to List Every Job Requirement; ● Prevailing Wage Determinations Based on “All Other” SOC codes; ● </w:t>
      </w:r>
      <w:r w:rsidRPr="000D7792">
        <w:rPr>
          <w:rFonts w:ascii="Times New Roman" w:hAnsi="Times New Roman" w:cs="Times New Roman"/>
          <w:i/>
          <w:sz w:val="22"/>
          <w:szCs w:val="22"/>
        </w:rPr>
        <w:t>Practice Alert: Section K Denials</w:t>
      </w:r>
      <w:r w:rsidRPr="000D7792">
        <w:rPr>
          <w:rFonts w:ascii="Times New Roman" w:hAnsi="Times New Roman" w:cs="Times New Roman"/>
          <w:sz w:val="22"/>
          <w:szCs w:val="22"/>
        </w:rPr>
        <w:t>.</w:t>
      </w:r>
    </w:p>
    <w:p w14:paraId="27E67D3F" w14:textId="77777777" w:rsidR="00752D01" w:rsidRDefault="00752D01">
      <w:pPr>
        <w:widowControl w:val="0"/>
        <w:autoSpaceDE w:val="0"/>
        <w:autoSpaceDN w:val="0"/>
        <w:adjustRightInd w:val="0"/>
        <w:jc w:val="both"/>
        <w:rPr>
          <w:rFonts w:ascii="Times New Roman" w:hAnsi="Times New Roman" w:cs="Times New Roman"/>
          <w:sz w:val="22"/>
          <w:szCs w:val="22"/>
        </w:rPr>
      </w:pPr>
    </w:p>
    <w:p w14:paraId="505FA81C" w14:textId="77777777" w:rsidR="00752D01" w:rsidRPr="00BE2195" w:rsidRDefault="00752D01">
      <w:pPr>
        <w:widowControl w:val="0"/>
        <w:autoSpaceDE w:val="0"/>
        <w:autoSpaceDN w:val="0"/>
        <w:adjustRightInd w:val="0"/>
        <w:jc w:val="both"/>
        <w:rPr>
          <w:rFonts w:ascii="Times New Roman" w:hAnsi="Times New Roman" w:cs="Times New Roman"/>
          <w:sz w:val="22"/>
          <w:szCs w:val="22"/>
        </w:rPr>
      </w:pPr>
      <w:r w:rsidRPr="00BE2195">
        <w:rPr>
          <w:rFonts w:ascii="Times New Roman" w:hAnsi="Times New Roman" w:cs="Times New Roman"/>
          <w:sz w:val="22"/>
          <w:szCs w:val="22"/>
        </w:rPr>
        <w:t xml:space="preserve">Ron Wada and Ron Matten, </w:t>
      </w:r>
      <w:r>
        <w:rPr>
          <w:rFonts w:ascii="Times New Roman" w:hAnsi="Times New Roman" w:cs="Times New Roman"/>
          <w:i/>
          <w:sz w:val="22"/>
          <w:szCs w:val="22"/>
        </w:rPr>
        <w:t>Shaping the Future of PERM–3</w:t>
      </w:r>
      <w:r w:rsidRPr="00BE2195">
        <w:rPr>
          <w:rFonts w:ascii="Times New Roman" w:hAnsi="Times New Roman" w:cs="Times New Roman"/>
          <w:i/>
          <w:sz w:val="22"/>
          <w:szCs w:val="22"/>
        </w:rPr>
        <w:t>Q 2015</w:t>
      </w:r>
      <w:r w:rsidRPr="00BE2195">
        <w:rPr>
          <w:rFonts w:ascii="Times New Roman" w:hAnsi="Times New Roman" w:cs="Times New Roman"/>
          <w:sz w:val="22"/>
          <w:szCs w:val="22"/>
        </w:rPr>
        <w:t xml:space="preserve">, 20 Bender’s </w:t>
      </w:r>
      <w:proofErr w:type="spellStart"/>
      <w:r w:rsidRPr="00BE2195">
        <w:rPr>
          <w:rFonts w:ascii="Times New Roman" w:hAnsi="Times New Roman" w:cs="Times New Roman"/>
          <w:sz w:val="22"/>
          <w:szCs w:val="22"/>
        </w:rPr>
        <w:t>Immigr</w:t>
      </w:r>
      <w:proofErr w:type="spellEnd"/>
      <w:r w:rsidRPr="00BE2195">
        <w:rPr>
          <w:rFonts w:ascii="Times New Roman" w:hAnsi="Times New Roman" w:cs="Times New Roman"/>
          <w:sz w:val="22"/>
          <w:szCs w:val="22"/>
        </w:rPr>
        <w:t>. Bull 1309 (Dec. 1, 2015), covering: ● Content CO reliance on an invalid ground of denial – will BALCA reverse, remand or deny based on an alternate ground?  ● Insufficient CO Guidance during supervised recruitment is grounds for remand; ● Passive Matches from SWA Posting are not considered job applicants; ● Proper evidence of recruitment for employer website ad and third party website ad; ● Evidence of recruitment where there is a mismatch between the content and the caption; ● Choice of Newspaper of General Circulation for required print ads; ● Validity period for a continuous employee referral program; ● How to specify degree requirements and alien qualifications on ETA Form 9089; ● Employer provided wage survey may rely on median wage if mean wage is not available.</w:t>
      </w:r>
    </w:p>
    <w:p w14:paraId="00C12C4B" w14:textId="77777777" w:rsidR="00752D01" w:rsidRDefault="00752D01">
      <w:pPr>
        <w:widowControl w:val="0"/>
        <w:autoSpaceDE w:val="0"/>
        <w:autoSpaceDN w:val="0"/>
        <w:adjustRightInd w:val="0"/>
        <w:jc w:val="both"/>
        <w:rPr>
          <w:rFonts w:ascii="Times New Roman" w:hAnsi="Times New Roman" w:cs="Times New Roman"/>
          <w:sz w:val="22"/>
          <w:szCs w:val="22"/>
        </w:rPr>
      </w:pPr>
    </w:p>
    <w:p w14:paraId="0DCCDEDD" w14:textId="77777777" w:rsidR="00752D01" w:rsidRPr="007E4DBB" w:rsidRDefault="00752D01">
      <w:pPr>
        <w:widowControl w:val="0"/>
        <w:autoSpaceDE w:val="0"/>
        <w:autoSpaceDN w:val="0"/>
        <w:adjustRightInd w:val="0"/>
        <w:jc w:val="both"/>
        <w:rPr>
          <w:rFonts w:ascii="Times New Roman" w:hAnsi="Times New Roman" w:cs="Times New Roman"/>
          <w:sz w:val="22"/>
          <w:szCs w:val="22"/>
        </w:rPr>
      </w:pPr>
      <w:r w:rsidRPr="007E4DBB">
        <w:rPr>
          <w:rFonts w:ascii="Times New Roman" w:hAnsi="Times New Roman" w:cs="Times New Roman"/>
          <w:sz w:val="22"/>
          <w:szCs w:val="22"/>
        </w:rPr>
        <w:t xml:space="preserve">Ron Wada and </w:t>
      </w:r>
      <w:proofErr w:type="spellStart"/>
      <w:r w:rsidRPr="007E4DBB">
        <w:rPr>
          <w:rFonts w:ascii="Times New Roman" w:hAnsi="Times New Roman" w:cs="Times New Roman"/>
          <w:sz w:val="22"/>
          <w:szCs w:val="22"/>
        </w:rPr>
        <w:t>Mailine</w:t>
      </w:r>
      <w:proofErr w:type="spellEnd"/>
      <w:r w:rsidRPr="007E4DBB">
        <w:rPr>
          <w:rFonts w:ascii="Times New Roman" w:hAnsi="Times New Roman" w:cs="Times New Roman"/>
          <w:sz w:val="22"/>
          <w:szCs w:val="22"/>
        </w:rPr>
        <w:t xml:space="preserve"> Wong, </w:t>
      </w:r>
      <w:r w:rsidRPr="007E4DBB">
        <w:rPr>
          <w:rFonts w:ascii="Times New Roman" w:hAnsi="Times New Roman" w:cs="Times New Roman"/>
          <w:i/>
          <w:sz w:val="22"/>
          <w:szCs w:val="22"/>
        </w:rPr>
        <w:t>Shaping the Future of PERM–2Q 2015</w:t>
      </w:r>
      <w:r w:rsidRPr="007E4DBB">
        <w:rPr>
          <w:rFonts w:ascii="Times New Roman" w:hAnsi="Times New Roman" w:cs="Times New Roman"/>
          <w:sz w:val="22"/>
          <w:szCs w:val="22"/>
        </w:rPr>
        <w:t xml:space="preserve">, 20 Bender’s </w:t>
      </w:r>
      <w:proofErr w:type="spellStart"/>
      <w:r w:rsidRPr="007E4DBB">
        <w:rPr>
          <w:rFonts w:ascii="Times New Roman" w:hAnsi="Times New Roman" w:cs="Times New Roman"/>
          <w:sz w:val="22"/>
          <w:szCs w:val="22"/>
        </w:rPr>
        <w:t>Immigr</w:t>
      </w:r>
      <w:proofErr w:type="spellEnd"/>
      <w:r w:rsidRPr="007E4DBB">
        <w:rPr>
          <w:rFonts w:ascii="Times New Roman" w:hAnsi="Times New Roman" w:cs="Times New Roman"/>
          <w:sz w:val="22"/>
          <w:szCs w:val="22"/>
        </w:rPr>
        <w:t>. Bull 897 (Aug. 15, 2015), covering: ● Grounds for Disqualification of PERM Job Applicants; ● Documentation of SWA Posting; ● Prevailing Wage Determinations Based on “All Other” SOC codes.</w:t>
      </w:r>
    </w:p>
    <w:p w14:paraId="078E7ECF" w14:textId="77777777" w:rsidR="00752D01" w:rsidRDefault="00752D01">
      <w:pPr>
        <w:widowControl w:val="0"/>
        <w:autoSpaceDE w:val="0"/>
        <w:autoSpaceDN w:val="0"/>
        <w:adjustRightInd w:val="0"/>
        <w:jc w:val="both"/>
        <w:rPr>
          <w:rFonts w:ascii="Times New Roman" w:hAnsi="Times New Roman" w:cs="Times New Roman"/>
        </w:rPr>
      </w:pPr>
    </w:p>
    <w:p w14:paraId="140CC632" w14:textId="77777777" w:rsidR="008D67C4" w:rsidRPr="003F6063" w:rsidRDefault="008D67C4" w:rsidP="00524AD8">
      <w:pPr>
        <w:pStyle w:val="NoSpacing"/>
        <w:jc w:val="both"/>
        <w:rPr>
          <w:sz w:val="22"/>
        </w:rPr>
      </w:pPr>
      <w:r w:rsidRPr="003F6063">
        <w:rPr>
          <w:sz w:val="22"/>
        </w:rPr>
        <w:t xml:space="preserve">Ron Wada &amp; Steve H. Kim, </w:t>
      </w:r>
      <w:r w:rsidRPr="003F6063">
        <w:rPr>
          <w:i/>
          <w:sz w:val="22"/>
        </w:rPr>
        <w:t>Shaping the Future of PERM–1Q 2015</w:t>
      </w:r>
      <w:r w:rsidRPr="003F6063">
        <w:rPr>
          <w:sz w:val="22"/>
        </w:rPr>
        <w:t xml:space="preserve">, 20 Bender’s </w:t>
      </w:r>
      <w:proofErr w:type="spellStart"/>
      <w:r w:rsidRPr="003F6063">
        <w:rPr>
          <w:sz w:val="22"/>
        </w:rPr>
        <w:t>Immigr</w:t>
      </w:r>
      <w:proofErr w:type="spellEnd"/>
      <w:r w:rsidRPr="003F6063">
        <w:rPr>
          <w:sz w:val="22"/>
        </w:rPr>
        <w:t xml:space="preserve">. Bull </w:t>
      </w:r>
      <w:r w:rsidR="00C93704" w:rsidRPr="003F6063">
        <w:rPr>
          <w:sz w:val="22"/>
        </w:rPr>
        <w:t>631</w:t>
      </w:r>
      <w:r w:rsidRPr="003F6063">
        <w:rPr>
          <w:sz w:val="22"/>
        </w:rPr>
        <w:t xml:space="preserve"> (</w:t>
      </w:r>
      <w:r w:rsidR="00C93704" w:rsidRPr="003F6063">
        <w:rPr>
          <w:sz w:val="22"/>
        </w:rPr>
        <w:t>June 15</w:t>
      </w:r>
      <w:r w:rsidRPr="003F6063">
        <w:rPr>
          <w:sz w:val="22"/>
        </w:rPr>
        <w:t xml:space="preserve">, 2015), covering: </w:t>
      </w:r>
      <w:r w:rsidRPr="003F6063">
        <w:rPr>
          <w:rFonts w:cs="Times New Roman"/>
          <w:sz w:val="22"/>
        </w:rPr>
        <w:t>●</w:t>
      </w:r>
      <w:r w:rsidRPr="003F6063">
        <w:rPr>
          <w:sz w:val="22"/>
        </w:rPr>
        <w:t xml:space="preserve"> Implied Travel OK If Inherent in the Job; </w:t>
      </w:r>
      <w:r w:rsidRPr="003F6063">
        <w:rPr>
          <w:rFonts w:cs="Times New Roman"/>
          <w:sz w:val="22"/>
        </w:rPr>
        <w:t>●</w:t>
      </w:r>
      <w:r w:rsidRPr="003F6063">
        <w:rPr>
          <w:sz w:val="22"/>
        </w:rPr>
        <w:t xml:space="preserve"> Home Office Benefit Must Be Advertised; </w:t>
      </w:r>
      <w:r w:rsidRPr="003F6063">
        <w:rPr>
          <w:rFonts w:cs="Times New Roman"/>
          <w:sz w:val="22"/>
        </w:rPr>
        <w:t>●</w:t>
      </w:r>
      <w:r w:rsidRPr="003F6063">
        <w:rPr>
          <w:sz w:val="22"/>
        </w:rPr>
        <w:t xml:space="preserve"> Post-</w:t>
      </w:r>
      <w:r w:rsidRPr="003F6063">
        <w:rPr>
          <w:i/>
          <w:sz w:val="22"/>
        </w:rPr>
        <w:t>Symantec</w:t>
      </w:r>
      <w:r w:rsidRPr="003F6063">
        <w:rPr>
          <w:rFonts w:hint="eastAsia"/>
          <w:sz w:val="22"/>
        </w:rPr>
        <w:t xml:space="preserve"> Clarifications; </w:t>
      </w:r>
      <w:r w:rsidRPr="003F6063">
        <w:rPr>
          <w:rFonts w:cs="Times New Roman"/>
          <w:sz w:val="22"/>
        </w:rPr>
        <w:t>●</w:t>
      </w:r>
      <w:r w:rsidRPr="003F6063">
        <w:rPr>
          <w:rFonts w:hint="eastAsia"/>
          <w:sz w:val="22"/>
        </w:rPr>
        <w:t xml:space="preserve"> Recruitment Report Content; </w:t>
      </w:r>
      <w:r w:rsidRPr="003F6063">
        <w:rPr>
          <w:rFonts w:cs="Times New Roman"/>
          <w:sz w:val="22"/>
        </w:rPr>
        <w:t>●</w:t>
      </w:r>
      <w:r w:rsidRPr="003F6063">
        <w:rPr>
          <w:rFonts w:hint="eastAsia"/>
          <w:sz w:val="22"/>
        </w:rPr>
        <w:t xml:space="preserve"> Recruitment Documentation.</w:t>
      </w:r>
    </w:p>
    <w:p w14:paraId="491C2675" w14:textId="77777777" w:rsidR="008D67C4" w:rsidRPr="003F6063" w:rsidRDefault="008D67C4" w:rsidP="00524AD8">
      <w:pPr>
        <w:pStyle w:val="NoSpacing"/>
        <w:jc w:val="both"/>
        <w:rPr>
          <w:sz w:val="22"/>
        </w:rPr>
      </w:pPr>
    </w:p>
    <w:p w14:paraId="57FC3C7B" w14:textId="77777777" w:rsidR="008C2896" w:rsidRPr="003F6063" w:rsidRDefault="002D51D3" w:rsidP="00524AD8">
      <w:pPr>
        <w:pStyle w:val="NoSpacing"/>
        <w:jc w:val="both"/>
        <w:rPr>
          <w:sz w:val="22"/>
        </w:rPr>
      </w:pPr>
      <w:r w:rsidRPr="003F6063">
        <w:rPr>
          <w:sz w:val="22"/>
        </w:rPr>
        <w:t xml:space="preserve">Ron Wada, Steve H. Kim </w:t>
      </w:r>
      <w:r w:rsidR="003B5370" w:rsidRPr="003F6063">
        <w:rPr>
          <w:sz w:val="22"/>
        </w:rPr>
        <w:t xml:space="preserve">&amp; </w:t>
      </w:r>
      <w:r w:rsidRPr="003F6063">
        <w:rPr>
          <w:sz w:val="22"/>
        </w:rPr>
        <w:t>Claire Hamano,</w:t>
      </w:r>
      <w:r w:rsidR="008C2896" w:rsidRPr="003F6063">
        <w:rPr>
          <w:sz w:val="22"/>
        </w:rPr>
        <w:t xml:space="preserve"> </w:t>
      </w:r>
      <w:r w:rsidR="008C2896" w:rsidRPr="003F6063">
        <w:rPr>
          <w:i/>
          <w:sz w:val="22"/>
        </w:rPr>
        <w:t>Shaping the Future of PERM–4Q 2014</w:t>
      </w:r>
      <w:r w:rsidR="008C2896" w:rsidRPr="003F6063">
        <w:rPr>
          <w:sz w:val="22"/>
        </w:rPr>
        <w:t xml:space="preserve">, 20 Bender’s </w:t>
      </w:r>
      <w:proofErr w:type="spellStart"/>
      <w:r w:rsidR="008C2896" w:rsidRPr="003F6063">
        <w:rPr>
          <w:sz w:val="22"/>
        </w:rPr>
        <w:t>Immigr</w:t>
      </w:r>
      <w:proofErr w:type="spellEnd"/>
      <w:r w:rsidR="008C2896" w:rsidRPr="003F6063">
        <w:rPr>
          <w:sz w:val="22"/>
        </w:rPr>
        <w:t xml:space="preserve">. Bull </w:t>
      </w:r>
      <w:r w:rsidRPr="003F6063">
        <w:rPr>
          <w:sz w:val="22"/>
        </w:rPr>
        <w:t>2</w:t>
      </w:r>
      <w:r w:rsidR="008C2896" w:rsidRPr="003F6063">
        <w:rPr>
          <w:sz w:val="22"/>
        </w:rPr>
        <w:t>25 (</w:t>
      </w:r>
      <w:r w:rsidRPr="003F6063">
        <w:rPr>
          <w:sz w:val="22"/>
        </w:rPr>
        <w:t>Mar</w:t>
      </w:r>
      <w:r w:rsidR="008C2896" w:rsidRPr="003F6063">
        <w:rPr>
          <w:sz w:val="22"/>
        </w:rPr>
        <w:t xml:space="preserve">. </w:t>
      </w:r>
      <w:r w:rsidRPr="003F6063">
        <w:rPr>
          <w:sz w:val="22"/>
        </w:rPr>
        <w:t>1, 2015</w:t>
      </w:r>
      <w:r w:rsidR="008C2896" w:rsidRPr="003F6063">
        <w:rPr>
          <w:rFonts w:hint="eastAsia"/>
          <w:sz w:val="22"/>
        </w:rPr>
        <w:t xml:space="preserve">), covering: </w:t>
      </w:r>
      <w:r w:rsidR="008C2896" w:rsidRPr="003F6063">
        <w:rPr>
          <w:rFonts w:cs="Times New Roman"/>
          <w:sz w:val="22"/>
        </w:rPr>
        <w:t>●</w:t>
      </w:r>
      <w:r w:rsidR="008C2896" w:rsidRPr="003F6063">
        <w:rPr>
          <w:rFonts w:hint="eastAsia"/>
          <w:sz w:val="22"/>
        </w:rPr>
        <w:t xml:space="preserve"> </w:t>
      </w:r>
      <w:r w:rsidRPr="003F6063">
        <w:rPr>
          <w:sz w:val="22"/>
        </w:rPr>
        <w:t>Implied Travel and Travel versus Where Applicants Will Likely Have to Reside</w:t>
      </w:r>
      <w:r w:rsidR="008C2896" w:rsidRPr="003F6063">
        <w:rPr>
          <w:sz w:val="22"/>
        </w:rPr>
        <w:t xml:space="preserve">; </w:t>
      </w:r>
      <w:r w:rsidR="008C2896" w:rsidRPr="003F6063">
        <w:rPr>
          <w:rFonts w:cs="Times New Roman"/>
          <w:sz w:val="22"/>
        </w:rPr>
        <w:t>●</w:t>
      </w:r>
      <w:r w:rsidRPr="003F6063">
        <w:rPr>
          <w:sz w:val="22"/>
        </w:rPr>
        <w:t xml:space="preserve"> Lawful </w:t>
      </w:r>
      <w:proofErr w:type="gramStart"/>
      <w:r w:rsidRPr="003F6063">
        <w:rPr>
          <w:sz w:val="22"/>
        </w:rPr>
        <w:t>Job Related</w:t>
      </w:r>
      <w:proofErr w:type="gramEnd"/>
      <w:r w:rsidRPr="003F6063">
        <w:rPr>
          <w:sz w:val="22"/>
        </w:rPr>
        <w:t xml:space="preserve"> Reason for Rejecting A U.S. Applicant – the Duty to Inquire</w:t>
      </w:r>
      <w:r w:rsidR="008C2896" w:rsidRPr="003F6063">
        <w:rPr>
          <w:sz w:val="22"/>
        </w:rPr>
        <w:t xml:space="preserve">; </w:t>
      </w:r>
      <w:r w:rsidR="008C2896" w:rsidRPr="003F6063">
        <w:rPr>
          <w:rFonts w:cs="Times New Roman"/>
          <w:sz w:val="22"/>
        </w:rPr>
        <w:t>●</w:t>
      </w:r>
      <w:r w:rsidRPr="003F6063">
        <w:rPr>
          <w:sz w:val="22"/>
        </w:rPr>
        <w:t xml:space="preserve"> On-site Housing Benefit Must be Advertised</w:t>
      </w:r>
      <w:r w:rsidR="008C2896" w:rsidRPr="003F6063">
        <w:rPr>
          <w:sz w:val="22"/>
        </w:rPr>
        <w:t xml:space="preserve">; </w:t>
      </w:r>
      <w:r w:rsidR="008C2896" w:rsidRPr="003F6063">
        <w:rPr>
          <w:rFonts w:cs="Times New Roman"/>
          <w:sz w:val="22"/>
        </w:rPr>
        <w:t>●</w:t>
      </w:r>
      <w:r w:rsidRPr="003F6063">
        <w:rPr>
          <w:sz w:val="22"/>
        </w:rPr>
        <w:t xml:space="preserve"> The No Modification Rule 20 C.F.R. </w:t>
      </w:r>
      <w:r w:rsidR="009313AA" w:rsidRPr="003F6063">
        <w:rPr>
          <w:sz w:val="22"/>
        </w:rPr>
        <w:t>§</w:t>
      </w:r>
      <w:r w:rsidRPr="003F6063">
        <w:rPr>
          <w:sz w:val="22"/>
        </w:rPr>
        <w:t xml:space="preserve">656.11(b). </w:t>
      </w:r>
    </w:p>
    <w:p w14:paraId="02A91CB2" w14:textId="77777777" w:rsidR="00793606" w:rsidRPr="003F6063" w:rsidRDefault="00793606" w:rsidP="00524AD8">
      <w:pPr>
        <w:pStyle w:val="NoSpacing"/>
        <w:jc w:val="both"/>
        <w:rPr>
          <w:sz w:val="22"/>
        </w:rPr>
      </w:pPr>
    </w:p>
    <w:p w14:paraId="2CBE7C42" w14:textId="77777777" w:rsidR="00BC70CA" w:rsidRPr="003F6063" w:rsidRDefault="00BC70CA" w:rsidP="00524AD8">
      <w:pPr>
        <w:pStyle w:val="NoSpacing"/>
        <w:jc w:val="both"/>
        <w:rPr>
          <w:sz w:val="22"/>
        </w:rPr>
      </w:pPr>
      <w:r w:rsidRPr="003F6063">
        <w:rPr>
          <w:sz w:val="22"/>
        </w:rPr>
        <w:lastRenderedPageBreak/>
        <w:t xml:space="preserve">Ron Wada, Claire Hamano </w:t>
      </w:r>
      <w:r w:rsidR="003B5370" w:rsidRPr="003F6063">
        <w:rPr>
          <w:sz w:val="22"/>
        </w:rPr>
        <w:t xml:space="preserve">&amp; </w:t>
      </w:r>
      <w:r w:rsidRPr="003F6063">
        <w:rPr>
          <w:sz w:val="22"/>
        </w:rPr>
        <w:t xml:space="preserve">Steve H. Kim, </w:t>
      </w:r>
      <w:r w:rsidRPr="003F6063">
        <w:rPr>
          <w:i/>
          <w:sz w:val="22"/>
        </w:rPr>
        <w:t>Shaping the Future of PERM–3Q 2014</w:t>
      </w:r>
      <w:r w:rsidRPr="003F6063">
        <w:rPr>
          <w:sz w:val="22"/>
        </w:rPr>
        <w:t xml:space="preserve">, 19 Bender’s </w:t>
      </w:r>
      <w:proofErr w:type="spellStart"/>
      <w:r w:rsidRPr="003F6063">
        <w:rPr>
          <w:sz w:val="22"/>
        </w:rPr>
        <w:t>Immigr</w:t>
      </w:r>
      <w:proofErr w:type="spellEnd"/>
      <w:r w:rsidRPr="003F6063">
        <w:rPr>
          <w:sz w:val="22"/>
        </w:rPr>
        <w:t xml:space="preserve">. Bull 1325 (Dec. 1, 2014), covering: </w:t>
      </w:r>
      <w:r w:rsidRPr="003F6063">
        <w:rPr>
          <w:rFonts w:cs="Times New Roman"/>
          <w:sz w:val="22"/>
        </w:rPr>
        <w:t>●</w:t>
      </w:r>
      <w:r w:rsidRPr="003F6063">
        <w:rPr>
          <w:sz w:val="22"/>
        </w:rPr>
        <w:t xml:space="preserve"> Content Requirements for PERM Recruitment Advertisements, SWA Job Orders and Notices of Filing; </w:t>
      </w:r>
      <w:r w:rsidRPr="003F6063">
        <w:rPr>
          <w:rFonts w:cs="Times New Roman"/>
          <w:sz w:val="22"/>
        </w:rPr>
        <w:t>●</w:t>
      </w:r>
      <w:r w:rsidRPr="003F6063">
        <w:rPr>
          <w:rFonts w:hint="eastAsia"/>
          <w:sz w:val="22"/>
        </w:rPr>
        <w:t>Prevailing</w:t>
      </w:r>
      <w:r w:rsidRPr="003F6063">
        <w:rPr>
          <w:sz w:val="22"/>
        </w:rPr>
        <w:t xml:space="preserve"> Wage Determinations Based on “All Other” SOC Code; </w:t>
      </w:r>
      <w:r w:rsidRPr="003F6063">
        <w:rPr>
          <w:rFonts w:cs="Times New Roman"/>
          <w:sz w:val="22"/>
        </w:rPr>
        <w:t>●</w:t>
      </w:r>
      <w:r w:rsidRPr="003F6063">
        <w:rPr>
          <w:rFonts w:hint="eastAsia"/>
          <w:sz w:val="22"/>
        </w:rPr>
        <w:t>Use</w:t>
      </w:r>
      <w:r w:rsidRPr="003F6063">
        <w:rPr>
          <w:sz w:val="22"/>
        </w:rPr>
        <w:t xml:space="preserve"> of Sworn Affidavits </w:t>
      </w:r>
      <w:proofErr w:type="gramStart"/>
      <w:r w:rsidRPr="003F6063">
        <w:rPr>
          <w:sz w:val="22"/>
        </w:rPr>
        <w:t>in lieu of</w:t>
      </w:r>
      <w:proofErr w:type="gramEnd"/>
      <w:r w:rsidRPr="003F6063">
        <w:rPr>
          <w:sz w:val="22"/>
        </w:rPr>
        <w:t xml:space="preserve"> Dated Copies of Recruitment Ads; </w:t>
      </w:r>
      <w:r w:rsidRPr="003F6063">
        <w:rPr>
          <w:rFonts w:cs="Times New Roman"/>
          <w:sz w:val="22"/>
        </w:rPr>
        <w:t>●</w:t>
      </w:r>
      <w:r w:rsidRPr="003F6063">
        <w:rPr>
          <w:rFonts w:hint="eastAsia"/>
          <w:sz w:val="22"/>
        </w:rPr>
        <w:t>Failure</w:t>
      </w:r>
      <w:r w:rsidRPr="003F6063">
        <w:rPr>
          <w:sz w:val="22"/>
        </w:rPr>
        <w:t xml:space="preserve"> to Follow Clear Regulatory Requirements is Not Harmless Error; </w:t>
      </w:r>
      <w:r w:rsidRPr="003F6063">
        <w:rPr>
          <w:rFonts w:cs="Times New Roman"/>
          <w:sz w:val="22"/>
        </w:rPr>
        <w:t>●</w:t>
      </w:r>
      <w:r w:rsidRPr="003F6063">
        <w:rPr>
          <w:rFonts w:hint="eastAsia"/>
          <w:sz w:val="22"/>
        </w:rPr>
        <w:t>Incomplete</w:t>
      </w:r>
      <w:r w:rsidRPr="003F6063">
        <w:rPr>
          <w:sz w:val="22"/>
        </w:rPr>
        <w:t xml:space="preserve"> Applications are Subject to Denial.</w:t>
      </w:r>
    </w:p>
    <w:p w14:paraId="22B1AE2C" w14:textId="77777777" w:rsidR="00BC70CA" w:rsidRPr="003F6063" w:rsidRDefault="00BC70CA" w:rsidP="00524AD8">
      <w:pPr>
        <w:pStyle w:val="NoSpacing"/>
        <w:jc w:val="both"/>
        <w:rPr>
          <w:sz w:val="22"/>
        </w:rPr>
      </w:pPr>
    </w:p>
    <w:p w14:paraId="15738F53" w14:textId="77777777" w:rsidR="00930E30" w:rsidRPr="003F6063" w:rsidRDefault="00930E30" w:rsidP="00524AD8">
      <w:pPr>
        <w:pStyle w:val="NoSpacing"/>
        <w:jc w:val="both"/>
        <w:rPr>
          <w:sz w:val="22"/>
        </w:rPr>
      </w:pPr>
      <w:r w:rsidRPr="003F6063">
        <w:rPr>
          <w:sz w:val="22"/>
        </w:rPr>
        <w:t xml:space="preserve">Jody </w:t>
      </w:r>
      <w:proofErr w:type="spellStart"/>
      <w:r w:rsidRPr="003F6063">
        <w:rPr>
          <w:sz w:val="22"/>
        </w:rPr>
        <w:t>Blaski</w:t>
      </w:r>
      <w:proofErr w:type="spellEnd"/>
      <w:r w:rsidRPr="003F6063">
        <w:rPr>
          <w:sz w:val="22"/>
        </w:rPr>
        <w:t xml:space="preserve"> Swartz &amp; Ron Wada, </w:t>
      </w:r>
      <w:r w:rsidRPr="003F6063">
        <w:rPr>
          <w:i/>
          <w:sz w:val="22"/>
        </w:rPr>
        <w:t>Shaping the Future of PERM–2Q 2014</w:t>
      </w:r>
      <w:r w:rsidRPr="003F6063">
        <w:rPr>
          <w:sz w:val="22"/>
        </w:rPr>
        <w:t xml:space="preserve">, 19 Bender’s </w:t>
      </w:r>
      <w:proofErr w:type="spellStart"/>
      <w:r w:rsidRPr="003F6063">
        <w:rPr>
          <w:sz w:val="22"/>
        </w:rPr>
        <w:t>Immigr</w:t>
      </w:r>
      <w:proofErr w:type="spellEnd"/>
      <w:r w:rsidRPr="003F6063">
        <w:rPr>
          <w:sz w:val="22"/>
        </w:rPr>
        <w:t xml:space="preserve">. Bull 889 (Aug. 15, 2014), covering: </w:t>
      </w:r>
      <w:r w:rsidRPr="003F6063">
        <w:rPr>
          <w:rFonts w:cs="Times New Roman"/>
          <w:sz w:val="22"/>
        </w:rPr>
        <w:t>●</w:t>
      </w:r>
      <w:r w:rsidRPr="003F6063">
        <w:rPr>
          <w:sz w:val="22"/>
        </w:rPr>
        <w:t xml:space="preserve"> Sponsored Employee’s Qualifying Experience gained with the Sponsoring Employer; </w:t>
      </w:r>
      <w:r w:rsidRPr="003F6063">
        <w:rPr>
          <w:rFonts w:cs="Times New Roman"/>
          <w:sz w:val="22"/>
        </w:rPr>
        <w:t>●</w:t>
      </w:r>
      <w:r w:rsidRPr="003F6063">
        <w:rPr>
          <w:rFonts w:hint="eastAsia"/>
          <w:sz w:val="22"/>
        </w:rPr>
        <w:t>Infeasibility</w:t>
      </w:r>
      <w:r w:rsidRPr="003F6063">
        <w:rPr>
          <w:sz w:val="22"/>
        </w:rPr>
        <w:t xml:space="preserve"> to Train Exception; Position Not Substantially Comparable Exception; </w:t>
      </w:r>
      <w:r w:rsidRPr="003F6063">
        <w:rPr>
          <w:rFonts w:cs="Times New Roman"/>
          <w:sz w:val="22"/>
        </w:rPr>
        <w:t>●</w:t>
      </w:r>
      <w:r w:rsidRPr="003F6063">
        <w:rPr>
          <w:rFonts w:hint="eastAsia"/>
          <w:sz w:val="22"/>
        </w:rPr>
        <w:t>Substantial</w:t>
      </w:r>
      <w:r w:rsidRPr="003F6063">
        <w:rPr>
          <w:sz w:val="22"/>
        </w:rPr>
        <w:t xml:space="preserve"> Equivalence update; </w:t>
      </w:r>
      <w:r w:rsidRPr="003F6063">
        <w:rPr>
          <w:rFonts w:cs="Times New Roman"/>
          <w:sz w:val="22"/>
        </w:rPr>
        <w:t>●</w:t>
      </w:r>
      <w:r w:rsidRPr="003F6063">
        <w:rPr>
          <w:rFonts w:hint="eastAsia"/>
          <w:sz w:val="22"/>
        </w:rPr>
        <w:t>Continuing</w:t>
      </w:r>
      <w:r w:rsidRPr="003F6063">
        <w:rPr>
          <w:sz w:val="22"/>
        </w:rPr>
        <w:t xml:space="preserve"> Split in Authority on Content Requirements for PERM Recruitment Advertisements; </w:t>
      </w:r>
      <w:r w:rsidRPr="003F6063">
        <w:rPr>
          <w:rFonts w:cs="Times New Roman"/>
          <w:sz w:val="22"/>
        </w:rPr>
        <w:t>●</w:t>
      </w:r>
      <w:r w:rsidRPr="003F6063">
        <w:rPr>
          <w:rFonts w:hint="eastAsia"/>
          <w:sz w:val="22"/>
        </w:rPr>
        <w:t>Modifying</w:t>
      </w:r>
      <w:r w:rsidRPr="003F6063">
        <w:rPr>
          <w:sz w:val="22"/>
        </w:rPr>
        <w:t xml:space="preserve"> the Application after Submission.</w:t>
      </w:r>
    </w:p>
    <w:p w14:paraId="0D4E259E" w14:textId="77777777" w:rsidR="00930E30" w:rsidRPr="003F6063" w:rsidRDefault="00930E30" w:rsidP="00524AD8">
      <w:pPr>
        <w:pStyle w:val="NoSpacing"/>
        <w:jc w:val="both"/>
        <w:rPr>
          <w:sz w:val="22"/>
        </w:rPr>
      </w:pPr>
    </w:p>
    <w:p w14:paraId="0A05D64C" w14:textId="77777777" w:rsidR="00793606" w:rsidRPr="003F6063" w:rsidRDefault="00793606" w:rsidP="00524AD8">
      <w:pPr>
        <w:pStyle w:val="NoSpacing"/>
        <w:jc w:val="both"/>
        <w:rPr>
          <w:sz w:val="22"/>
        </w:rPr>
      </w:pPr>
      <w:r w:rsidRPr="003F6063">
        <w:rPr>
          <w:sz w:val="22"/>
        </w:rPr>
        <w:t xml:space="preserve">Ron Wada &amp; Jody </w:t>
      </w:r>
      <w:proofErr w:type="spellStart"/>
      <w:r w:rsidRPr="003F6063">
        <w:rPr>
          <w:sz w:val="22"/>
        </w:rPr>
        <w:t>Blaski</w:t>
      </w:r>
      <w:proofErr w:type="spellEnd"/>
      <w:r w:rsidRPr="003F6063">
        <w:rPr>
          <w:sz w:val="22"/>
        </w:rPr>
        <w:t xml:space="preserve"> Swart</w:t>
      </w:r>
      <w:r w:rsidR="009E51B0" w:rsidRPr="003F6063">
        <w:rPr>
          <w:sz w:val="22"/>
        </w:rPr>
        <w:t xml:space="preserve">z, </w:t>
      </w:r>
      <w:r w:rsidR="009E51B0" w:rsidRPr="003F6063">
        <w:rPr>
          <w:i/>
          <w:sz w:val="22"/>
        </w:rPr>
        <w:t>Shaping the Future of PERM–1Q 2014</w:t>
      </w:r>
      <w:r w:rsidRPr="003F6063">
        <w:rPr>
          <w:sz w:val="22"/>
        </w:rPr>
        <w:t xml:space="preserve">, 19 Bender’s </w:t>
      </w:r>
      <w:proofErr w:type="spellStart"/>
      <w:r w:rsidRPr="003F6063">
        <w:rPr>
          <w:sz w:val="22"/>
        </w:rPr>
        <w:t>Immigr</w:t>
      </w:r>
      <w:proofErr w:type="spellEnd"/>
      <w:r w:rsidRPr="003F6063">
        <w:rPr>
          <w:sz w:val="22"/>
        </w:rPr>
        <w:t xml:space="preserve">. Bull </w:t>
      </w:r>
      <w:r w:rsidR="009E51B0" w:rsidRPr="003F6063">
        <w:rPr>
          <w:sz w:val="22"/>
        </w:rPr>
        <w:t>493</w:t>
      </w:r>
      <w:r w:rsidRPr="003F6063">
        <w:rPr>
          <w:sz w:val="22"/>
        </w:rPr>
        <w:t xml:space="preserve"> (</w:t>
      </w:r>
      <w:r w:rsidR="009E51B0" w:rsidRPr="003F6063">
        <w:rPr>
          <w:sz w:val="22"/>
        </w:rPr>
        <w:t>May 15</w:t>
      </w:r>
      <w:r w:rsidRPr="003F6063">
        <w:rPr>
          <w:sz w:val="22"/>
        </w:rPr>
        <w:t>, 2014), covering:</w:t>
      </w:r>
      <w:r w:rsidR="0062184F"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Split in Authority on Content Requirements for PERM recruitment advertisements</w:t>
      </w:r>
      <w:r w:rsidR="0062184F"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Sponsored empl</w:t>
      </w:r>
      <w:r w:rsidR="004B14C5" w:rsidRPr="003F6063">
        <w:rPr>
          <w:sz w:val="22"/>
        </w:rPr>
        <w:t xml:space="preserve">oyee’s experience </w:t>
      </w:r>
      <w:r w:rsidRPr="003F6063">
        <w:rPr>
          <w:sz w:val="22"/>
        </w:rPr>
        <w:t>documented on the ETA Form 9089</w:t>
      </w:r>
      <w:r w:rsidR="0062184F"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New DOL FAQ on PERM Notify &amp; Consider Requirements</w:t>
      </w:r>
      <w:r w:rsidR="0062184F" w:rsidRPr="003F6063">
        <w:rPr>
          <w:sz w:val="22"/>
        </w:rPr>
        <w:t>.</w:t>
      </w:r>
      <w:r w:rsidRPr="003F6063">
        <w:rPr>
          <w:sz w:val="22"/>
        </w:rPr>
        <w:t xml:space="preserve"> </w:t>
      </w:r>
    </w:p>
    <w:p w14:paraId="1CFAE86B" w14:textId="77777777" w:rsidR="00793606" w:rsidRPr="003F6063" w:rsidRDefault="00793606" w:rsidP="00524AD8">
      <w:pPr>
        <w:pStyle w:val="NoSpacing"/>
        <w:jc w:val="both"/>
        <w:rPr>
          <w:sz w:val="22"/>
        </w:rPr>
      </w:pPr>
    </w:p>
    <w:p w14:paraId="60B31D4C" w14:textId="77777777" w:rsidR="00793606" w:rsidRPr="003F6063" w:rsidRDefault="00793606" w:rsidP="00524AD8">
      <w:pPr>
        <w:pStyle w:val="NoSpacing"/>
        <w:jc w:val="both"/>
        <w:rPr>
          <w:sz w:val="22"/>
        </w:rPr>
      </w:pPr>
      <w:r w:rsidRPr="003F6063">
        <w:rPr>
          <w:sz w:val="22"/>
        </w:rPr>
        <w:t xml:space="preserve">Ron Wada &amp; Jody </w:t>
      </w:r>
      <w:proofErr w:type="spellStart"/>
      <w:r w:rsidRPr="003F6063">
        <w:rPr>
          <w:sz w:val="22"/>
        </w:rPr>
        <w:t>Blaski</w:t>
      </w:r>
      <w:proofErr w:type="spellEnd"/>
      <w:r w:rsidRPr="003F6063">
        <w:rPr>
          <w:sz w:val="22"/>
        </w:rPr>
        <w:t xml:space="preserve"> Swartz, </w:t>
      </w:r>
      <w:r w:rsidRPr="003F6063">
        <w:rPr>
          <w:i/>
          <w:sz w:val="22"/>
        </w:rPr>
        <w:t>Shaping the Future of PERM–4Q 2013</w:t>
      </w:r>
      <w:r w:rsidRPr="003F6063">
        <w:rPr>
          <w:sz w:val="22"/>
        </w:rPr>
        <w:t xml:space="preserve">, 19 Bender’s </w:t>
      </w:r>
      <w:proofErr w:type="spellStart"/>
      <w:r w:rsidRPr="003F6063">
        <w:rPr>
          <w:sz w:val="22"/>
        </w:rPr>
        <w:t>Immigr</w:t>
      </w:r>
      <w:proofErr w:type="spellEnd"/>
      <w:r w:rsidRPr="003F6063">
        <w:rPr>
          <w:sz w:val="22"/>
        </w:rPr>
        <w:t>. Bull 195 (February 15, 2014), covering:</w:t>
      </w:r>
      <w:r w:rsidR="0062184F"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Rejection of U.S. Applicants</w:t>
      </w:r>
      <w:r w:rsidR="0062184F" w:rsidRPr="003F6063">
        <w:rPr>
          <w:sz w:val="22"/>
        </w:rPr>
        <w:t xml:space="preserve">; </w:t>
      </w:r>
      <w:r w:rsidR="00EC31F7" w:rsidRPr="003F6063">
        <w:rPr>
          <w:rFonts w:cs="Times New Roman"/>
          <w:sz w:val="22"/>
        </w:rPr>
        <w:t>●</w:t>
      </w:r>
      <w:r w:rsidR="004B14C5" w:rsidRPr="003F6063">
        <w:rPr>
          <w:sz w:val="22"/>
        </w:rPr>
        <w:t xml:space="preserve"> </w:t>
      </w:r>
      <w:r w:rsidRPr="003F6063">
        <w:rPr>
          <w:sz w:val="22"/>
        </w:rPr>
        <w:t>Definition of “trade or professional organization”</w:t>
      </w:r>
      <w:r w:rsidR="0062184F"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A significant settlement agreement between DOL and a major U.S. employer involving the PERM “notify and consider” requirements in the wake of a layoff</w:t>
      </w:r>
    </w:p>
    <w:p w14:paraId="5277D0F0" w14:textId="77777777" w:rsidR="00793606" w:rsidRPr="003F6063" w:rsidRDefault="00793606" w:rsidP="00524AD8">
      <w:pPr>
        <w:pStyle w:val="NoSpacing"/>
        <w:jc w:val="both"/>
        <w:rPr>
          <w:sz w:val="22"/>
        </w:rPr>
      </w:pPr>
    </w:p>
    <w:p w14:paraId="59976958" w14:textId="77777777" w:rsidR="00793606" w:rsidRPr="003F6063" w:rsidRDefault="00793606" w:rsidP="00524AD8">
      <w:pPr>
        <w:pStyle w:val="NoSpacing"/>
        <w:jc w:val="both"/>
        <w:rPr>
          <w:sz w:val="22"/>
        </w:rPr>
      </w:pPr>
      <w:r w:rsidRPr="003F6063">
        <w:rPr>
          <w:sz w:val="22"/>
        </w:rPr>
        <w:t xml:space="preserve">Ron Wada &amp; Jody </w:t>
      </w:r>
      <w:proofErr w:type="spellStart"/>
      <w:r w:rsidRPr="003F6063">
        <w:rPr>
          <w:sz w:val="22"/>
        </w:rPr>
        <w:t>Blaski</w:t>
      </w:r>
      <w:proofErr w:type="spellEnd"/>
      <w:r w:rsidRPr="003F6063">
        <w:rPr>
          <w:sz w:val="22"/>
        </w:rPr>
        <w:t xml:space="preserve"> Swartz, </w:t>
      </w:r>
      <w:r w:rsidRPr="003F6063">
        <w:rPr>
          <w:i/>
          <w:sz w:val="22"/>
        </w:rPr>
        <w:t>Shaping the Future of PERM–3Q 2013</w:t>
      </w:r>
      <w:r w:rsidRPr="003F6063">
        <w:rPr>
          <w:sz w:val="22"/>
        </w:rPr>
        <w:t xml:space="preserve">, 18 Bender’s </w:t>
      </w:r>
      <w:proofErr w:type="spellStart"/>
      <w:r w:rsidRPr="003F6063">
        <w:rPr>
          <w:sz w:val="22"/>
        </w:rPr>
        <w:t>Immigr</w:t>
      </w:r>
      <w:proofErr w:type="spellEnd"/>
      <w:r w:rsidRPr="003F6063">
        <w:rPr>
          <w:sz w:val="22"/>
        </w:rPr>
        <w:t>. Bull 1351 (December 1, 2013), covering:</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SWA job order content</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Home Office</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Sponsored employee’s experience documented on the ETA Form 9089</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Closely Held Corporations</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Due Process: Notice of denial reason</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Substantial Equivalence update</w:t>
      </w:r>
      <w:r w:rsidR="000174FE" w:rsidRPr="003F6063">
        <w:rPr>
          <w:sz w:val="22"/>
        </w:rPr>
        <w:t xml:space="preserve">; </w:t>
      </w:r>
      <w:r w:rsidR="00EC31F7" w:rsidRPr="003F6063">
        <w:rPr>
          <w:rFonts w:cs="Times New Roman"/>
          <w:sz w:val="22"/>
        </w:rPr>
        <w:t>●</w:t>
      </w:r>
      <w:r w:rsidR="00EC31F7" w:rsidRPr="003F6063">
        <w:rPr>
          <w:rFonts w:hint="eastAsia"/>
          <w:sz w:val="22"/>
        </w:rPr>
        <w:t xml:space="preserve"> </w:t>
      </w:r>
      <w:r w:rsidRPr="003F6063">
        <w:rPr>
          <w:sz w:val="22"/>
        </w:rPr>
        <w:t>Notice of Filing Content</w:t>
      </w:r>
      <w:r w:rsidR="000174FE" w:rsidRPr="003F6063">
        <w:rPr>
          <w:sz w:val="22"/>
        </w:rPr>
        <w:t>.</w:t>
      </w:r>
    </w:p>
    <w:p w14:paraId="20B12CDD" w14:textId="77777777" w:rsidR="00793606" w:rsidRPr="003F6063" w:rsidRDefault="00793606" w:rsidP="00524AD8">
      <w:pPr>
        <w:pStyle w:val="NoSpacing"/>
        <w:jc w:val="both"/>
        <w:rPr>
          <w:sz w:val="22"/>
        </w:rPr>
      </w:pPr>
    </w:p>
    <w:p w14:paraId="4812D03C" w14:textId="77777777" w:rsidR="00793606" w:rsidRPr="003F6063" w:rsidRDefault="00793606" w:rsidP="00524AD8">
      <w:pPr>
        <w:pStyle w:val="NoSpacing"/>
        <w:jc w:val="both"/>
        <w:rPr>
          <w:sz w:val="22"/>
        </w:rPr>
      </w:pPr>
      <w:r w:rsidRPr="003F6063">
        <w:rPr>
          <w:sz w:val="22"/>
        </w:rPr>
        <w:t xml:space="preserve">Ron Wada &amp; Jody </w:t>
      </w:r>
      <w:proofErr w:type="spellStart"/>
      <w:r w:rsidRPr="003F6063">
        <w:rPr>
          <w:sz w:val="22"/>
        </w:rPr>
        <w:t>Blaski</w:t>
      </w:r>
      <w:proofErr w:type="spellEnd"/>
      <w:r w:rsidRPr="003F6063">
        <w:rPr>
          <w:sz w:val="22"/>
        </w:rPr>
        <w:t xml:space="preserve">, </w:t>
      </w:r>
      <w:r w:rsidRPr="003F6063">
        <w:rPr>
          <w:i/>
          <w:sz w:val="22"/>
        </w:rPr>
        <w:t>Shaping the Future of PERM–2Q 2013</w:t>
      </w:r>
      <w:r w:rsidRPr="003F6063">
        <w:rPr>
          <w:sz w:val="22"/>
        </w:rPr>
        <w:t xml:space="preserve">, 18 Bender’s </w:t>
      </w:r>
      <w:proofErr w:type="spellStart"/>
      <w:r w:rsidRPr="003F6063">
        <w:rPr>
          <w:sz w:val="22"/>
        </w:rPr>
        <w:t>Immigr</w:t>
      </w:r>
      <w:proofErr w:type="spellEnd"/>
      <w:r w:rsidRPr="003F6063">
        <w:rPr>
          <w:sz w:val="22"/>
        </w:rPr>
        <w:t>. Bull. 943 (August 15, 2013), covering:</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‘‘Harmless Erro</w:t>
      </w:r>
      <w:r w:rsidR="008C0E76" w:rsidRPr="003F6063">
        <w:rPr>
          <w:sz w:val="22"/>
        </w:rPr>
        <w:t xml:space="preserve">r’’ </w:t>
      </w:r>
      <w:r w:rsidR="00EB473C" w:rsidRPr="003F6063">
        <w:rPr>
          <w:sz w:val="22"/>
        </w:rPr>
        <w:t>&amp;</w:t>
      </w:r>
      <w:r w:rsidR="008C0E76" w:rsidRPr="003F6063">
        <w:rPr>
          <w:sz w:val="22"/>
        </w:rPr>
        <w:t xml:space="preserve"> ‘‘Fundamental Fairness”; </w:t>
      </w:r>
      <w:r w:rsidR="00EB473C" w:rsidRPr="003F6063">
        <w:rPr>
          <w:rFonts w:cs="Times New Roman"/>
          <w:sz w:val="22"/>
        </w:rPr>
        <w:t>●</w:t>
      </w:r>
      <w:r w:rsidR="00EB473C" w:rsidRPr="003F6063">
        <w:rPr>
          <w:rFonts w:hint="eastAsia"/>
          <w:sz w:val="22"/>
        </w:rPr>
        <w:t xml:space="preserve"> </w:t>
      </w:r>
      <w:r w:rsidRPr="003F6063">
        <w:rPr>
          <w:sz w:val="22"/>
        </w:rPr>
        <w:t>‘‘Substantial Failure’’ to respond to Audit</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Layoff in Area of Intended Employment</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Wage Variance</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SWA Job Order Audit Requirement</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Recruitment Report Content and Form</w:t>
      </w:r>
      <w:r w:rsidR="008C0E76" w:rsidRPr="003F6063">
        <w:rPr>
          <w:sz w:val="22"/>
        </w:rPr>
        <w:t>.</w:t>
      </w:r>
    </w:p>
    <w:p w14:paraId="14CB5F3F" w14:textId="77777777" w:rsidR="00793606" w:rsidRPr="003F6063" w:rsidRDefault="00793606" w:rsidP="00524AD8">
      <w:pPr>
        <w:pStyle w:val="NoSpacing"/>
        <w:jc w:val="both"/>
        <w:rPr>
          <w:sz w:val="22"/>
        </w:rPr>
      </w:pPr>
    </w:p>
    <w:p w14:paraId="5911B85F" w14:textId="77777777" w:rsidR="00793606" w:rsidRPr="003F6063" w:rsidRDefault="00793606" w:rsidP="00524AD8">
      <w:pPr>
        <w:pStyle w:val="NoSpacing"/>
        <w:jc w:val="both"/>
        <w:rPr>
          <w:sz w:val="22"/>
        </w:rPr>
      </w:pPr>
      <w:r w:rsidRPr="003F6063">
        <w:rPr>
          <w:sz w:val="22"/>
        </w:rPr>
        <w:t xml:space="preserve">Ron Wada &amp; Jody </w:t>
      </w:r>
      <w:proofErr w:type="spellStart"/>
      <w:r w:rsidRPr="003F6063">
        <w:rPr>
          <w:sz w:val="22"/>
        </w:rPr>
        <w:t>Blaski</w:t>
      </w:r>
      <w:proofErr w:type="spellEnd"/>
      <w:r w:rsidRPr="003F6063">
        <w:rPr>
          <w:sz w:val="22"/>
        </w:rPr>
        <w:t xml:space="preserve">, </w:t>
      </w:r>
      <w:r w:rsidRPr="003F6063">
        <w:rPr>
          <w:i/>
          <w:sz w:val="22"/>
        </w:rPr>
        <w:t>Shaping the Future of PERM–1Q 2013</w:t>
      </w:r>
      <w:r w:rsidRPr="003F6063">
        <w:rPr>
          <w:sz w:val="22"/>
        </w:rPr>
        <w:t xml:space="preserve">, 18 Bender’s </w:t>
      </w:r>
      <w:proofErr w:type="spellStart"/>
      <w:r w:rsidRPr="003F6063">
        <w:rPr>
          <w:sz w:val="22"/>
        </w:rPr>
        <w:t>Immigr</w:t>
      </w:r>
      <w:proofErr w:type="spellEnd"/>
      <w:r w:rsidRPr="003F6063">
        <w:rPr>
          <w:sz w:val="22"/>
        </w:rPr>
        <w:t>. Bull. 557 (May 15, 2013), covering:</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Interpretation of Travel Language</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Substantial Equivalence</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Limitations of Form ETA 9089</w:t>
      </w:r>
      <w:r w:rsidR="008C0E76"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Newspaper of General Circulation</w:t>
      </w:r>
      <w:r w:rsidR="00236AFC"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Supervised Recruitment Issues</w:t>
      </w:r>
      <w:r w:rsidR="00236AFC"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Presumption of Delivery of DOL Mailings</w:t>
      </w:r>
      <w:r w:rsidR="00236AFC" w:rsidRPr="003F6063">
        <w:rPr>
          <w:sz w:val="22"/>
        </w:rPr>
        <w:t xml:space="preserve">: </w:t>
      </w:r>
      <w:r w:rsidR="00EB473C" w:rsidRPr="003F6063">
        <w:rPr>
          <w:rFonts w:cs="Times New Roman"/>
          <w:sz w:val="22"/>
        </w:rPr>
        <w:t>●</w:t>
      </w:r>
      <w:r w:rsidR="00EB473C" w:rsidRPr="003F6063">
        <w:rPr>
          <w:rFonts w:hint="eastAsia"/>
          <w:sz w:val="22"/>
        </w:rPr>
        <w:t xml:space="preserve"> </w:t>
      </w:r>
      <w:r w:rsidRPr="003F6063">
        <w:rPr>
          <w:sz w:val="22"/>
        </w:rPr>
        <w:t>Sponsorship Verification</w:t>
      </w:r>
      <w:r w:rsidR="00236AFC" w:rsidRPr="003F6063">
        <w:rPr>
          <w:sz w:val="22"/>
        </w:rPr>
        <w:t>.</w:t>
      </w:r>
    </w:p>
    <w:p w14:paraId="17DAEF1A" w14:textId="77777777" w:rsidR="001C4BC5" w:rsidRPr="00660472" w:rsidRDefault="001C4BC5" w:rsidP="004208A8">
      <w:pPr>
        <w:widowControl w:val="0"/>
        <w:autoSpaceDE w:val="0"/>
        <w:autoSpaceDN w:val="0"/>
        <w:adjustRightInd w:val="0"/>
        <w:jc w:val="both"/>
        <w:rPr>
          <w:rFonts w:ascii="Times New Roman" w:hAnsi="Times New Roman" w:cs="Times New Roman"/>
          <w:i/>
          <w:sz w:val="22"/>
          <w:szCs w:val="22"/>
        </w:rPr>
      </w:pPr>
    </w:p>
    <w:sectPr w:rsidR="001C4BC5" w:rsidRPr="00660472" w:rsidSect="009555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8890" w14:textId="77777777" w:rsidR="009244AD" w:rsidRDefault="009244AD" w:rsidP="00952860">
      <w:r>
        <w:separator/>
      </w:r>
    </w:p>
  </w:endnote>
  <w:endnote w:type="continuationSeparator" w:id="0">
    <w:p w14:paraId="66A7E12B" w14:textId="77777777" w:rsidR="009244AD" w:rsidRDefault="009244AD" w:rsidP="0095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92D6" w14:textId="77777777" w:rsidR="009244AD" w:rsidRDefault="009244AD" w:rsidP="00952860">
      <w:r>
        <w:separator/>
      </w:r>
    </w:p>
  </w:footnote>
  <w:footnote w:type="continuationSeparator" w:id="0">
    <w:p w14:paraId="77D424EF" w14:textId="77777777" w:rsidR="009244AD" w:rsidRDefault="009244AD" w:rsidP="00952860">
      <w:r>
        <w:continuationSeparator/>
      </w:r>
    </w:p>
  </w:footnote>
  <w:footnote w:id="1">
    <w:p w14:paraId="5B1A68A2" w14:textId="0DC07207" w:rsidR="00CE3A59" w:rsidRPr="00187762" w:rsidRDefault="00CE3A59" w:rsidP="004208A8">
      <w:pPr>
        <w:pStyle w:val="FootnoteText"/>
        <w:jc w:val="both"/>
        <w:rPr>
          <w:rFonts w:ascii="Times New Roman" w:hAnsi="Times New Roman" w:cs="Times New Roman"/>
          <w:sz w:val="20"/>
          <w:szCs w:val="20"/>
        </w:rPr>
      </w:pPr>
      <w:r w:rsidRPr="00187762">
        <w:rPr>
          <w:rStyle w:val="FootnoteReference"/>
          <w:rFonts w:ascii="Times New Roman" w:hAnsi="Times New Roman" w:cs="Times New Roman"/>
          <w:sz w:val="20"/>
          <w:szCs w:val="20"/>
        </w:rPr>
        <w:footnoteRef/>
      </w:r>
      <w:r w:rsidRPr="00187762">
        <w:rPr>
          <w:rFonts w:ascii="Times New Roman" w:hAnsi="Times New Roman" w:cs="Times New Roman"/>
          <w:sz w:val="20"/>
          <w:szCs w:val="20"/>
        </w:rPr>
        <w:t xml:space="preserve"> Charles Gordon, Stanley Mailman, Stephen Yale-Loehr &amp; Ronald Y. Wada, Immigration Law and Procedure.</w:t>
      </w:r>
      <w:r w:rsidR="009313AA">
        <w:rPr>
          <w:rFonts w:ascii="Times New Roman" w:hAnsi="Times New Roman" w:cs="Times New Roman"/>
          <w:sz w:val="20"/>
          <w:szCs w:val="20"/>
        </w:rPr>
        <w:t xml:space="preserve"> </w:t>
      </w:r>
      <w:r w:rsidRPr="00187762">
        <w:rPr>
          <w:rFonts w:ascii="Times New Roman" w:hAnsi="Times New Roman" w:cs="Times New Roman"/>
          <w:sz w:val="20"/>
          <w:szCs w:val="20"/>
        </w:rPr>
        <w:t>Immigration Law and Procedure is a twenty-one-volume ‘‘bible’’ of immigration l</w:t>
      </w:r>
      <w:r w:rsidR="004B715F">
        <w:rPr>
          <w:rFonts w:ascii="Times New Roman" w:hAnsi="Times New Roman" w:cs="Times New Roman"/>
          <w:sz w:val="20"/>
          <w:szCs w:val="20"/>
        </w:rPr>
        <w:t>aw that has been cited in over 4</w:t>
      </w:r>
      <w:r w:rsidRPr="00187762">
        <w:rPr>
          <w:rFonts w:ascii="Times New Roman" w:hAnsi="Times New Roman" w:cs="Times New Roman"/>
          <w:sz w:val="20"/>
          <w:szCs w:val="20"/>
        </w:rPr>
        <w:t>00 federal court decisions from across the district courts, through the courts of appeals, and including the Supreme Court.</w:t>
      </w:r>
    </w:p>
  </w:footnote>
  <w:footnote w:id="2">
    <w:p w14:paraId="5E55F771" w14:textId="47FDCC4A" w:rsidR="003743BD" w:rsidRPr="0025508F" w:rsidRDefault="003743BD">
      <w:pPr>
        <w:pStyle w:val="FootnoteText"/>
        <w:rPr>
          <w:rFonts w:ascii="Times New Roman" w:hAnsi="Times New Roman" w:cs="Times New Roman"/>
          <w:i/>
          <w:sz w:val="20"/>
          <w:szCs w:val="20"/>
        </w:rPr>
      </w:pPr>
      <w:r>
        <w:rPr>
          <w:rStyle w:val="FootnoteReference"/>
        </w:rPr>
        <w:footnoteRef/>
      </w:r>
      <w:r w:rsidR="0025508F">
        <w:t xml:space="preserve">  </w:t>
      </w:r>
      <w:r w:rsidR="0025508F">
        <w:rPr>
          <w:rFonts w:ascii="Times New Roman" w:hAnsi="Times New Roman" w:cs="Times New Roman"/>
          <w:i/>
          <w:sz w:val="20"/>
          <w:szCs w:val="20"/>
        </w:rPr>
        <w:t xml:space="preserve">See, e.g., </w:t>
      </w:r>
      <w:r w:rsidR="0025508F" w:rsidRPr="00F74DDC">
        <w:rPr>
          <w:rFonts w:ascii="Times New Roman" w:hAnsi="Times New Roman" w:cs="Times New Roman"/>
          <w:sz w:val="20"/>
          <w:szCs w:val="20"/>
        </w:rPr>
        <w:t xml:space="preserve">Matter of </w:t>
      </w:r>
      <w:r w:rsidR="0025508F">
        <w:rPr>
          <w:rFonts w:ascii="Times New Roman" w:hAnsi="Times New Roman" w:cs="Times New Roman"/>
          <w:sz w:val="20"/>
          <w:szCs w:val="20"/>
        </w:rPr>
        <w:t>American Airlines, 2016 BALCA LEXIS 510 (August 5, 2016); Matter of Robert Bosch, 2016 BALCA LEXIS 568 (August 25, 2016)</w:t>
      </w:r>
      <w:r w:rsidR="008D626D">
        <w:rPr>
          <w:rFonts w:ascii="Times New Roman" w:hAnsi="Times New Roman" w:cs="Times New Roman"/>
          <w:sz w:val="20"/>
          <w:szCs w:val="20"/>
        </w:rPr>
        <w:t>.</w:t>
      </w:r>
    </w:p>
  </w:footnote>
  <w:footnote w:id="3">
    <w:p w14:paraId="23EF5ABD" w14:textId="74A2831F" w:rsidR="00A0371F" w:rsidRPr="00C8774A" w:rsidRDefault="00A0371F">
      <w:pPr>
        <w:pStyle w:val="FootnoteText"/>
        <w:rPr>
          <w:rFonts w:ascii="Times New Roman" w:hAnsi="Times New Roman" w:cs="Times New Roman"/>
          <w:sz w:val="20"/>
          <w:szCs w:val="20"/>
        </w:rPr>
      </w:pPr>
      <w:r>
        <w:rPr>
          <w:rStyle w:val="FootnoteReference"/>
        </w:rPr>
        <w:footnoteRef/>
      </w:r>
      <w:r>
        <w:t xml:space="preserve"> </w:t>
      </w:r>
      <w:r w:rsidR="008D626D">
        <w:rPr>
          <w:rFonts w:ascii="Times New Roman" w:hAnsi="Times New Roman" w:cs="Times New Roman"/>
          <w:i/>
          <w:sz w:val="20"/>
          <w:szCs w:val="20"/>
        </w:rPr>
        <w:t xml:space="preserve">See, e.g., </w:t>
      </w:r>
      <w:r w:rsidR="008D626D" w:rsidRPr="00F74DDC">
        <w:rPr>
          <w:rFonts w:ascii="Times New Roman" w:hAnsi="Times New Roman" w:cs="Times New Roman"/>
          <w:sz w:val="20"/>
          <w:szCs w:val="20"/>
        </w:rPr>
        <w:t xml:space="preserve">Matter of </w:t>
      </w:r>
      <w:r w:rsidR="008D626D">
        <w:rPr>
          <w:rFonts w:ascii="Times New Roman" w:hAnsi="Times New Roman" w:cs="Times New Roman"/>
          <w:sz w:val="20"/>
          <w:szCs w:val="20"/>
        </w:rPr>
        <w:t>Micron Technology, Inc., 2016 BALCA LEXIS 506 (August 1, 2016); Matter of Encore NG Services Inc., 2016 BALCA</w:t>
      </w:r>
      <w:r w:rsidR="00C8774A">
        <w:rPr>
          <w:rFonts w:ascii="Times New Roman" w:hAnsi="Times New Roman" w:cs="Times New Roman"/>
          <w:sz w:val="20"/>
          <w:szCs w:val="20"/>
        </w:rPr>
        <w:t xml:space="preserve"> LEXIS 918 (BALCA Dec. 7, 2016); Matter of SolarCity, 2017</w:t>
      </w:r>
      <w:r w:rsidR="00AE6E82">
        <w:rPr>
          <w:rFonts w:ascii="Times New Roman" w:hAnsi="Times New Roman" w:cs="Times New Roman"/>
          <w:sz w:val="20"/>
          <w:szCs w:val="20"/>
        </w:rPr>
        <w:t xml:space="preserve"> BALCA LEXIS 132 (Feb. 1, 2017); Matter of Guardian Pharmacy, LLC, 2017 BALCA LEXIS 681 (Apr. 26, 2017).</w:t>
      </w:r>
    </w:p>
  </w:footnote>
  <w:footnote w:id="4">
    <w:p w14:paraId="6D698126" w14:textId="730DA648" w:rsidR="00A0371F" w:rsidRPr="008D626D" w:rsidRDefault="00A0371F">
      <w:pPr>
        <w:pStyle w:val="FootnoteText"/>
        <w:rPr>
          <w:rFonts w:ascii="Times New Roman" w:hAnsi="Times New Roman" w:cs="Times New Roman"/>
          <w:i/>
          <w:sz w:val="20"/>
          <w:szCs w:val="20"/>
        </w:rPr>
      </w:pPr>
      <w:r>
        <w:rPr>
          <w:rStyle w:val="FootnoteReference"/>
        </w:rPr>
        <w:footnoteRef/>
      </w:r>
      <w:r>
        <w:t xml:space="preserve"> </w:t>
      </w:r>
      <w:r w:rsidR="008D626D">
        <w:rPr>
          <w:rFonts w:ascii="Times New Roman" w:hAnsi="Times New Roman" w:cs="Times New Roman"/>
          <w:i/>
          <w:sz w:val="20"/>
          <w:szCs w:val="20"/>
        </w:rPr>
        <w:t xml:space="preserve">See, e.g., </w:t>
      </w:r>
      <w:r w:rsidR="008D626D" w:rsidRPr="00E86549">
        <w:rPr>
          <w:rFonts w:ascii="Times New Roman" w:hAnsi="Times New Roman" w:cs="Times New Roman"/>
          <w:sz w:val="20"/>
          <w:szCs w:val="20"/>
        </w:rPr>
        <w:t xml:space="preserve">Matter of </w:t>
      </w:r>
      <w:r w:rsidR="008D626D">
        <w:rPr>
          <w:rFonts w:ascii="Times New Roman" w:hAnsi="Times New Roman" w:cs="Times New Roman"/>
          <w:sz w:val="20"/>
          <w:szCs w:val="20"/>
        </w:rPr>
        <w:t>Lodestar Consulting LLC, 2016 BALCA LEXIS 931 (BALCA Dec. 13, 2016); Matter of Academic Partnerships, LLC, 2016 BALCA LEXIS 917 (BALCA Dec. 7, 2016)</w:t>
      </w:r>
      <w:r w:rsidR="00C8774A">
        <w:rPr>
          <w:rFonts w:ascii="Times New Roman" w:hAnsi="Times New Roman" w:cs="Times New Roman"/>
          <w:sz w:val="20"/>
          <w:szCs w:val="20"/>
        </w:rPr>
        <w:t>; Matter of Transamerica Life Insurance Co., 2017 BALCA LEXIS 258 (Feb. 22, 2017).</w:t>
      </w:r>
    </w:p>
  </w:footnote>
  <w:footnote w:id="5">
    <w:p w14:paraId="1E584D8E" w14:textId="56CD052E" w:rsidR="003743BD" w:rsidRPr="008D626D" w:rsidRDefault="003743BD">
      <w:pPr>
        <w:pStyle w:val="FootnoteText"/>
        <w:rPr>
          <w:rFonts w:ascii="Times New Roman" w:hAnsi="Times New Roman" w:cs="Times New Roman"/>
          <w:i/>
          <w:sz w:val="20"/>
          <w:szCs w:val="20"/>
        </w:rPr>
      </w:pPr>
      <w:r>
        <w:rPr>
          <w:rStyle w:val="FootnoteReference"/>
        </w:rPr>
        <w:footnoteRef/>
      </w:r>
      <w:r w:rsidR="008D626D">
        <w:t xml:space="preserve">  </w:t>
      </w:r>
      <w:r w:rsidR="008D626D">
        <w:rPr>
          <w:rFonts w:ascii="Times New Roman" w:hAnsi="Times New Roman" w:cs="Times New Roman"/>
          <w:i/>
          <w:sz w:val="20"/>
          <w:szCs w:val="20"/>
        </w:rPr>
        <w:t xml:space="preserve">See, e.g., </w:t>
      </w:r>
      <w:r w:rsidR="008D626D">
        <w:rPr>
          <w:rFonts w:ascii="Times New Roman" w:hAnsi="Times New Roman" w:cs="Times New Roman"/>
          <w:sz w:val="20"/>
          <w:szCs w:val="20"/>
        </w:rPr>
        <w:t xml:space="preserve">Matter of M5 Networks, 2016 BALCA LEXIS 841 (BALCA </w:t>
      </w:r>
      <w:r w:rsidR="00C8774A">
        <w:rPr>
          <w:rFonts w:ascii="Times New Roman" w:hAnsi="Times New Roman" w:cs="Times New Roman"/>
          <w:sz w:val="20"/>
          <w:szCs w:val="20"/>
        </w:rPr>
        <w:t xml:space="preserve">Nov. 16, 2016); Matter of Xerox Business Services, LLC, 2017 BALCA LEXIS 116 (Jan. 27, 2017); Matter of </w:t>
      </w:r>
      <w:proofErr w:type="spellStart"/>
      <w:r w:rsidR="00C8774A">
        <w:rPr>
          <w:rFonts w:ascii="Times New Roman" w:hAnsi="Times New Roman" w:cs="Times New Roman"/>
          <w:sz w:val="20"/>
          <w:szCs w:val="20"/>
        </w:rPr>
        <w:t>Netapp</w:t>
      </w:r>
      <w:proofErr w:type="spellEnd"/>
      <w:r w:rsidR="00C8774A">
        <w:rPr>
          <w:rFonts w:ascii="Times New Roman" w:hAnsi="Times New Roman" w:cs="Times New Roman"/>
          <w:sz w:val="20"/>
          <w:szCs w:val="20"/>
        </w:rPr>
        <w:t>, Inc., 2017 BALCA LEXIS 104 (Jan. 25, 2017).</w:t>
      </w:r>
    </w:p>
  </w:footnote>
  <w:footnote w:id="6">
    <w:p w14:paraId="4168E2A1" w14:textId="188D2A9E" w:rsidR="00154518" w:rsidRDefault="00154518">
      <w:pPr>
        <w:pStyle w:val="FootnoteText"/>
      </w:pPr>
      <w:r>
        <w:rPr>
          <w:rStyle w:val="FootnoteReference"/>
        </w:rPr>
        <w:footnoteRef/>
      </w:r>
      <w:r>
        <w:t xml:space="preserve"> </w:t>
      </w:r>
      <w:r w:rsidRPr="00154518">
        <w:rPr>
          <w:rFonts w:ascii="Times New Roman" w:hAnsi="Times New Roman" w:cs="Times New Roman"/>
          <w:sz w:val="20"/>
          <w:szCs w:val="20"/>
        </w:rPr>
        <w:t xml:space="preserve">An employer cannot merely assert that it knows who is qualified and who is not, but must bear the burden of demonstrating that none of the applicants was qualified or available for the position.  This includes the determination of who can be disqualified without an interview.  </w:t>
      </w:r>
      <w:bookmarkStart w:id="1" w:name="_Hlk496524188"/>
      <w:r w:rsidRPr="00154518">
        <w:rPr>
          <w:rFonts w:ascii="Times New Roman" w:hAnsi="Times New Roman" w:cs="Times New Roman"/>
          <w:sz w:val="20"/>
          <w:szCs w:val="20"/>
        </w:rPr>
        <w:t>Matter of HSBC Bank USA, N.A.</w:t>
      </w:r>
      <w:r w:rsidRPr="00154518">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 xml:space="preserve"> </w:t>
      </w:r>
      <w:r w:rsidRPr="006F697A">
        <w:rPr>
          <w:rFonts w:ascii="Times New Roman" w:hAnsi="Times New Roman" w:cs="Times New Roman"/>
          <w:sz w:val="20"/>
          <w:szCs w:val="20"/>
        </w:rPr>
        <w:t>2016 BALCA LEXIS 751 (BALCA Oct. 28, 2016)</w:t>
      </w:r>
      <w:r>
        <w:rPr>
          <w:rFonts w:ascii="Times New Roman" w:hAnsi="Times New Roman" w:cs="Times New Roman"/>
          <w:color w:val="000000" w:themeColor="text1"/>
          <w:sz w:val="20"/>
          <w:szCs w:val="20"/>
        </w:rPr>
        <w:t>.</w:t>
      </w:r>
      <w:bookmarkEnd w:id="1"/>
    </w:p>
  </w:footnote>
  <w:footnote w:id="7">
    <w:p w14:paraId="7AA98F86" w14:textId="40395BDB" w:rsidR="00D03AB7" w:rsidRPr="00727952" w:rsidRDefault="00D03AB7">
      <w:pPr>
        <w:pStyle w:val="FootnoteText"/>
        <w:rPr>
          <w:rFonts w:ascii="Times New Roman" w:hAnsi="Times New Roman" w:cs="Times New Roman"/>
          <w:sz w:val="20"/>
          <w:szCs w:val="20"/>
        </w:rPr>
      </w:pPr>
      <w:r>
        <w:rPr>
          <w:rStyle w:val="FootnoteReference"/>
        </w:rPr>
        <w:footnoteRef/>
      </w:r>
      <w:r>
        <w:t xml:space="preserve"> </w:t>
      </w:r>
      <w:r w:rsidRPr="00D03AB7">
        <w:rPr>
          <w:rFonts w:ascii="Times New Roman" w:hAnsi="Times New Roman" w:cs="Times New Roman"/>
          <w:i/>
          <w:sz w:val="20"/>
          <w:szCs w:val="20"/>
        </w:rPr>
        <w:t>See, e.g.,</w:t>
      </w:r>
      <w:r>
        <w:rPr>
          <w:i/>
        </w:rPr>
        <w:t xml:space="preserve"> </w:t>
      </w:r>
      <w:r>
        <w:rPr>
          <w:rFonts w:ascii="Times New Roman" w:hAnsi="Times New Roman" w:cs="Times New Roman"/>
          <w:sz w:val="20"/>
          <w:szCs w:val="20"/>
        </w:rPr>
        <w:t xml:space="preserve">Matter of M5 Networks, 2016 BALCA LEXIS 841 (BALCA </w:t>
      </w:r>
      <w:r w:rsidR="00CF2F88">
        <w:rPr>
          <w:rFonts w:ascii="Times New Roman" w:hAnsi="Times New Roman" w:cs="Times New Roman"/>
          <w:sz w:val="20"/>
          <w:szCs w:val="20"/>
        </w:rPr>
        <w:t xml:space="preserve">Nov. 16, 2016) </w:t>
      </w:r>
      <w:r w:rsidR="00CF2F88" w:rsidRPr="00CF2F88">
        <w:rPr>
          <w:rFonts w:ascii="Times New Roman" w:hAnsi="Times New Roman" w:cs="Times New Roman"/>
          <w:sz w:val="20"/>
          <w:szCs w:val="20"/>
        </w:rPr>
        <w:t>(</w:t>
      </w:r>
      <w:r w:rsidR="00CF2F88" w:rsidRPr="00CF2F88">
        <w:rPr>
          <w:rFonts w:ascii="Times New Roman" w:hAnsi="Times New Roman" w:cs="Times New Roman"/>
          <w:color w:val="000000" w:themeColor="text1"/>
          <w:sz w:val="20"/>
          <w:szCs w:val="20"/>
        </w:rPr>
        <w:t xml:space="preserve">The CO stated that </w:t>
      </w:r>
      <w:r w:rsidR="00CF2F88" w:rsidRPr="00CF2F88">
        <w:rPr>
          <w:rFonts w:ascii="Times New Roman" w:hAnsi="Times New Roman" w:cs="Times New Roman"/>
          <w:i/>
          <w:color w:val="000000" w:themeColor="text1"/>
          <w:sz w:val="20"/>
          <w:szCs w:val="20"/>
        </w:rPr>
        <w:t>“where a U.S. applicant’s resume indicated that he/she meets the broad range of experience, education and training required for the job, the employer has a duty to make a further inquiry, by interview or other means, into whether the applicant meets all of the requirements.”</w:t>
      </w:r>
      <w:r w:rsidR="00CF2F88" w:rsidRPr="00CF2F88">
        <w:rPr>
          <w:rFonts w:ascii="Times New Roman" w:hAnsi="Times New Roman" w:cs="Times New Roman"/>
          <w:color w:val="000000" w:themeColor="text1"/>
          <w:sz w:val="20"/>
          <w:szCs w:val="20"/>
        </w:rPr>
        <w:t xml:space="preserve"> The BALCA panel agreed, noting that </w:t>
      </w:r>
      <w:r w:rsidR="00CF2F88" w:rsidRPr="00CF2F88">
        <w:rPr>
          <w:rFonts w:ascii="Times New Roman" w:hAnsi="Times New Roman" w:cs="Times New Roman"/>
          <w:i/>
          <w:color w:val="000000" w:themeColor="text1"/>
          <w:sz w:val="20"/>
          <w:szCs w:val="20"/>
        </w:rPr>
        <w:t>“the Employer has a duty to investigate an applicant further, even if they do not have the exact experience required.”</w:t>
      </w:r>
      <w:r w:rsidR="00CF2F88" w:rsidRPr="00CF2F88">
        <w:rPr>
          <w:rFonts w:ascii="Times New Roman" w:hAnsi="Times New Roman" w:cs="Times New Roman"/>
          <w:color w:val="000000" w:themeColor="text1"/>
          <w:sz w:val="20"/>
          <w:szCs w:val="20"/>
        </w:rPr>
        <w:t>)</w:t>
      </w:r>
      <w:r w:rsidR="00727952">
        <w:rPr>
          <w:rFonts w:ascii="Times New Roman" w:hAnsi="Times New Roman" w:cs="Times New Roman"/>
          <w:color w:val="000000" w:themeColor="text1"/>
          <w:sz w:val="20"/>
          <w:szCs w:val="20"/>
        </w:rPr>
        <w:t xml:space="preserve">; </w:t>
      </w:r>
      <w:r w:rsidR="0025508F">
        <w:rPr>
          <w:rFonts w:ascii="Times New Roman" w:hAnsi="Times New Roman" w:cs="Times New Roman"/>
          <w:i/>
          <w:color w:val="000000" w:themeColor="text1"/>
          <w:sz w:val="20"/>
          <w:szCs w:val="20"/>
        </w:rPr>
        <w:t xml:space="preserve">see also </w:t>
      </w:r>
      <w:bookmarkStart w:id="2" w:name="_Hlk496524216"/>
      <w:r w:rsidR="00727952">
        <w:rPr>
          <w:rFonts w:ascii="Times New Roman" w:hAnsi="Times New Roman" w:cs="Times New Roman"/>
          <w:sz w:val="20"/>
          <w:szCs w:val="20"/>
        </w:rPr>
        <w:t xml:space="preserve">Matter of </w:t>
      </w:r>
      <w:proofErr w:type="spellStart"/>
      <w:r w:rsidR="00727952">
        <w:rPr>
          <w:rFonts w:ascii="Times New Roman" w:hAnsi="Times New Roman" w:cs="Times New Roman"/>
          <w:sz w:val="20"/>
          <w:szCs w:val="20"/>
        </w:rPr>
        <w:t>Unisoft</w:t>
      </w:r>
      <w:proofErr w:type="spellEnd"/>
      <w:r w:rsidR="00727952">
        <w:rPr>
          <w:rFonts w:ascii="Times New Roman" w:hAnsi="Times New Roman" w:cs="Times New Roman"/>
          <w:sz w:val="20"/>
          <w:szCs w:val="20"/>
        </w:rPr>
        <w:t xml:space="preserve"> International, Inc., 2016 BALCA LEXIS 982 (BALCA Dec. 29,2016); Matter of Google, Inc., 2016 BALCA LEXIS 881 (BALCA Nov. 30, 2016); Matter of Xerox Business Services, LLC, 2017 BALCA LEXIS 116 (Jan. 27, 2017).</w:t>
      </w:r>
    </w:p>
    <w:bookmarkEnd w:id="2"/>
  </w:footnote>
  <w:footnote w:id="8">
    <w:p w14:paraId="691EB27E" w14:textId="05C389B2" w:rsidR="00CD7058" w:rsidRPr="00CD7058" w:rsidRDefault="00CD7058">
      <w:pPr>
        <w:pStyle w:val="FootnoteText"/>
        <w:rPr>
          <w:rFonts w:ascii="Times New Roman" w:hAnsi="Times New Roman" w:cs="Times New Roman"/>
          <w:sz w:val="20"/>
          <w:szCs w:val="20"/>
        </w:rPr>
      </w:pPr>
      <w:r>
        <w:rPr>
          <w:rStyle w:val="FootnoteReference"/>
        </w:rPr>
        <w:footnoteRef/>
      </w:r>
      <w:r>
        <w:t xml:space="preserve"> </w:t>
      </w:r>
      <w:bookmarkStart w:id="3" w:name="_Hlk496524229"/>
      <w:r>
        <w:rPr>
          <w:rFonts w:ascii="Times New Roman" w:hAnsi="Times New Roman" w:cs="Times New Roman"/>
          <w:sz w:val="20"/>
          <w:szCs w:val="20"/>
        </w:rPr>
        <w:t>Matter of Cardinal Health, 2016 BALCA LEXIS 585 (BALCA Sept 13, 2016)</w:t>
      </w:r>
      <w:bookmarkEnd w:id="3"/>
      <w:r>
        <w:rPr>
          <w:rFonts w:ascii="Times New Roman" w:hAnsi="Times New Roman" w:cs="Times New Roman"/>
          <w:sz w:val="20"/>
          <w:szCs w:val="20"/>
        </w:rPr>
        <w:t xml:space="preserve"> </w:t>
      </w:r>
      <w:r w:rsidRPr="00CD7058">
        <w:rPr>
          <w:rFonts w:ascii="Times New Roman" w:hAnsi="Times New Roman" w:cs="Times New Roman"/>
          <w:sz w:val="20"/>
          <w:szCs w:val="20"/>
        </w:rPr>
        <w:t>(“[w]here the record reflects an applicant has performed the very type of work that is described in Form 9089, eliminating such a qualified applicant because his or her degree is not in a specified field appears to run counter to the purpose of [the regulations].”)</w:t>
      </w:r>
    </w:p>
  </w:footnote>
  <w:footnote w:id="9">
    <w:p w14:paraId="395A01BE" w14:textId="3F14A525" w:rsidR="00727952" w:rsidRDefault="00727952">
      <w:pPr>
        <w:pStyle w:val="FootnoteText"/>
      </w:pPr>
      <w:r>
        <w:rPr>
          <w:rStyle w:val="FootnoteReference"/>
        </w:rPr>
        <w:footnoteRef/>
      </w:r>
      <w:r>
        <w:t xml:space="preserve"> </w:t>
      </w:r>
      <w:bookmarkStart w:id="4" w:name="_Hlk496524246"/>
      <w:r>
        <w:rPr>
          <w:rFonts w:ascii="Times New Roman" w:hAnsi="Times New Roman" w:cs="Times New Roman"/>
          <w:sz w:val="20"/>
          <w:szCs w:val="20"/>
        </w:rPr>
        <w:t xml:space="preserve">Matter of </w:t>
      </w:r>
      <w:proofErr w:type="spellStart"/>
      <w:r>
        <w:rPr>
          <w:rFonts w:ascii="Times New Roman" w:hAnsi="Times New Roman" w:cs="Times New Roman"/>
          <w:sz w:val="20"/>
          <w:szCs w:val="20"/>
        </w:rPr>
        <w:t>Netapp</w:t>
      </w:r>
      <w:proofErr w:type="spellEnd"/>
      <w:r>
        <w:rPr>
          <w:rFonts w:ascii="Times New Roman" w:hAnsi="Times New Roman" w:cs="Times New Roman"/>
          <w:sz w:val="20"/>
          <w:szCs w:val="20"/>
        </w:rPr>
        <w:t>, Inc., 2017 BALCA LEXIS 104 (Jan. 25, 2017).</w:t>
      </w:r>
      <w:bookmarkEnd w:id="4"/>
    </w:p>
  </w:footnote>
  <w:footnote w:id="10">
    <w:p w14:paraId="0CBF2ED7" w14:textId="2AD1C268" w:rsidR="00727952" w:rsidRPr="00727952" w:rsidRDefault="00727952">
      <w:pPr>
        <w:pStyle w:val="FootnoteText"/>
        <w:rPr>
          <w:i/>
        </w:rPr>
      </w:pPr>
      <w:r>
        <w:rPr>
          <w:rStyle w:val="FootnoteReference"/>
        </w:rPr>
        <w:footnoteRef/>
      </w:r>
      <w:r>
        <w:t xml:space="preserve"> </w:t>
      </w:r>
      <w:r w:rsidRPr="00727952">
        <w:rPr>
          <w:rFonts w:ascii="Times New Roman" w:hAnsi="Times New Roman" w:cs="Times New Roman"/>
          <w:i/>
          <w:sz w:val="20"/>
          <w:szCs w:val="20"/>
        </w:rPr>
        <w:t>Id.</w:t>
      </w:r>
    </w:p>
  </w:footnote>
  <w:footnote w:id="11">
    <w:p w14:paraId="6E94DBBE" w14:textId="7C7B9B00" w:rsidR="00F7071F" w:rsidRPr="006E316B" w:rsidRDefault="00F7071F" w:rsidP="00F7071F">
      <w:pPr>
        <w:pStyle w:val="FootnoteText"/>
      </w:pPr>
      <w:r>
        <w:rPr>
          <w:rStyle w:val="FootnoteReference"/>
        </w:rPr>
        <w:footnoteRef/>
      </w:r>
      <w:r>
        <w:t xml:space="preserve"> </w:t>
      </w:r>
      <w:bookmarkStart w:id="5" w:name="_Hlk496524262"/>
      <w:r>
        <w:rPr>
          <w:rFonts w:ascii="Times New Roman" w:hAnsi="Times New Roman" w:cs="Times New Roman"/>
          <w:sz w:val="20"/>
          <w:szCs w:val="20"/>
        </w:rPr>
        <w:t xml:space="preserve">Matter of Guardian Pharmacy, LLC, 2017 </w:t>
      </w:r>
      <w:r w:rsidR="006E316B">
        <w:rPr>
          <w:rFonts w:ascii="Times New Roman" w:hAnsi="Times New Roman" w:cs="Times New Roman"/>
          <w:sz w:val="20"/>
          <w:szCs w:val="20"/>
        </w:rPr>
        <w:t>BALCA LEXIS 681 (Apr. 26, 2017)</w:t>
      </w:r>
      <w:bookmarkEnd w:id="5"/>
      <w:r w:rsidR="006E316B">
        <w:rPr>
          <w:rFonts w:ascii="Times New Roman" w:hAnsi="Times New Roman" w:cs="Times New Roman"/>
          <w:sz w:val="20"/>
          <w:szCs w:val="20"/>
        </w:rPr>
        <w:t xml:space="preserve"> (</w:t>
      </w:r>
      <w:r w:rsidR="006E316B" w:rsidRPr="006E316B">
        <w:rPr>
          <w:rFonts w:ascii="Times New Roman" w:hAnsi="Times New Roman" w:cs="Times New Roman"/>
          <w:i/>
          <w:sz w:val="20"/>
          <w:szCs w:val="20"/>
        </w:rPr>
        <w:t>“employers face a heightened burden when they reject otherwise qualified U.S. applicants for failing to meet subjective requirements… The requirement at issue in this case (“strong verbal and written communication skills”) is subjective in nature; the Employer therefore had an obligation to support its contention that five U.S. applicants (each of whom was board certified in the United States and had at least seven years’ experience working in a pharmacy) did not meet this requirement with “objective, detailed facts.”</w:t>
      </w:r>
      <w:r w:rsidR="006E316B" w:rsidRPr="006E316B">
        <w:rPr>
          <w:rFonts w:ascii="Times New Roman" w:hAnsi="Times New Roman" w:cs="Times New Roman"/>
          <w:sz w:val="20"/>
          <w:szCs w:val="20"/>
        </w:rPr>
        <w:t>)</w:t>
      </w:r>
      <w:r w:rsidR="006E316B">
        <w:rPr>
          <w:rFonts w:ascii="Times New Roman" w:hAnsi="Times New Roman" w:cs="Times New Roman"/>
          <w:sz w:val="20"/>
          <w:szCs w:val="20"/>
        </w:rPr>
        <w:t xml:space="preserve">; </w:t>
      </w:r>
      <w:r w:rsidR="006E316B" w:rsidRPr="00F74DDC">
        <w:rPr>
          <w:rFonts w:ascii="Times New Roman" w:hAnsi="Times New Roman" w:cs="Times New Roman"/>
          <w:sz w:val="20"/>
          <w:szCs w:val="20"/>
        </w:rPr>
        <w:t xml:space="preserve">Matter of </w:t>
      </w:r>
      <w:r w:rsidR="006E316B">
        <w:rPr>
          <w:rFonts w:ascii="Times New Roman" w:hAnsi="Times New Roman" w:cs="Times New Roman"/>
          <w:sz w:val="20"/>
          <w:szCs w:val="20"/>
        </w:rPr>
        <w:t xml:space="preserve">Micron Technology, Inc., 2016 BALCA LEXIS 506 (August 1, 2016) (Employer </w:t>
      </w:r>
      <w:r w:rsidR="006E316B" w:rsidRPr="006E316B">
        <w:rPr>
          <w:rFonts w:ascii="Times New Roman" w:hAnsi="Times New Roman" w:cs="Times New Roman"/>
          <w:sz w:val="20"/>
          <w:szCs w:val="20"/>
        </w:rPr>
        <w:t>listed eleven “subjective” criteria (e.g., thorough understanding of physical vapor deposition, strong grasp of current semiconductor fabrication process techniques, good judgement, etc.</w:t>
      </w:r>
      <w:r w:rsidR="006E316B">
        <w:rPr>
          <w:rFonts w:ascii="Times New Roman" w:hAnsi="Times New Roman" w:cs="Times New Roman"/>
          <w:sz w:val="20"/>
          <w:szCs w:val="20"/>
        </w:rPr>
        <w:t>) t</w:t>
      </w:r>
      <w:r w:rsidR="006E316B" w:rsidRPr="006E316B">
        <w:rPr>
          <w:rFonts w:ascii="Times New Roman" w:hAnsi="Times New Roman" w:cs="Times New Roman"/>
          <w:sz w:val="20"/>
          <w:szCs w:val="20"/>
        </w:rPr>
        <w:t xml:space="preserve">hat a “successful </w:t>
      </w:r>
      <w:r w:rsidR="006E316B">
        <w:rPr>
          <w:rFonts w:ascii="Times New Roman" w:hAnsi="Times New Roman" w:cs="Times New Roman"/>
          <w:sz w:val="20"/>
          <w:szCs w:val="20"/>
        </w:rPr>
        <w:t>candidate” would possess, then disqualified applicants who could not demonstrate having coursework that met the criteria</w:t>
      </w:r>
      <w:r w:rsidR="006E316B" w:rsidRPr="006E316B">
        <w:rPr>
          <w:rFonts w:ascii="Times New Roman" w:hAnsi="Times New Roman" w:cs="Times New Roman"/>
          <w:sz w:val="20"/>
          <w:szCs w:val="20"/>
        </w:rPr>
        <w:t>)</w:t>
      </w:r>
      <w:r w:rsidR="006E316B">
        <w:rPr>
          <w:rFonts w:ascii="Times New Roman" w:hAnsi="Times New Roman" w:cs="Times New Roman"/>
          <w:sz w:val="20"/>
          <w:szCs w:val="20"/>
        </w:rPr>
        <w:t>.</w:t>
      </w:r>
    </w:p>
  </w:footnote>
  <w:footnote w:id="12">
    <w:p w14:paraId="63E5E3BC" w14:textId="64E7FB91" w:rsidR="00B024FC" w:rsidRDefault="00B024FC">
      <w:pPr>
        <w:pStyle w:val="FootnoteText"/>
      </w:pPr>
      <w:r>
        <w:rPr>
          <w:rStyle w:val="FootnoteReference"/>
        </w:rPr>
        <w:footnoteRef/>
      </w:r>
      <w:r>
        <w:t xml:space="preserve"> </w:t>
      </w:r>
      <w:r>
        <w:rPr>
          <w:rFonts w:ascii="Times New Roman" w:hAnsi="Times New Roman" w:cs="Times New Roman"/>
          <w:sz w:val="20"/>
          <w:szCs w:val="20"/>
        </w:rPr>
        <w:t>Matter of Transamerica Life Insurance Co., 2017 BALCA LEXIS 258 (Feb. 22, 2017).</w:t>
      </w:r>
    </w:p>
  </w:footnote>
  <w:footnote w:id="13">
    <w:p w14:paraId="5098315D" w14:textId="03794D21" w:rsidR="00490D4C" w:rsidRPr="00490D4C" w:rsidRDefault="00490D4C">
      <w:pPr>
        <w:pStyle w:val="FootnoteText"/>
        <w:rPr>
          <w:rFonts w:ascii="Times New Roman" w:hAnsi="Times New Roman" w:cs="Times New Roman"/>
          <w:sz w:val="20"/>
          <w:szCs w:val="20"/>
        </w:rPr>
      </w:pPr>
      <w:r>
        <w:rPr>
          <w:rStyle w:val="FootnoteReference"/>
        </w:rPr>
        <w:footnoteRef/>
      </w:r>
      <w:r>
        <w:t xml:space="preserve"> </w:t>
      </w:r>
      <w:r w:rsidR="00D40AA0" w:rsidRPr="00D40AA0">
        <w:rPr>
          <w:rFonts w:ascii="Times New Roman" w:hAnsi="Times New Roman" w:cs="Times New Roman"/>
          <w:i/>
          <w:sz w:val="20"/>
          <w:szCs w:val="20"/>
        </w:rPr>
        <w:t>Id.</w:t>
      </w:r>
      <w:r w:rsidR="00D40AA0">
        <w:rPr>
          <w:i/>
        </w:rPr>
        <w:t xml:space="preserve"> </w:t>
      </w:r>
      <w:r w:rsidRPr="00490D4C">
        <w:rPr>
          <w:rFonts w:ascii="Times New Roman" w:hAnsi="Times New Roman" w:cs="Times New Roman"/>
          <w:sz w:val="20"/>
          <w:szCs w:val="20"/>
        </w:rPr>
        <w:t>BALCA has cited the presence of the Kellogg language as justification for denying a PERM application where the employer failed to interview an applicant who had many years of experience in the occupation but whose resume did not list one or more of the job require</w:t>
      </w:r>
      <w:r w:rsidR="0025508F">
        <w:rPr>
          <w:rFonts w:ascii="Times New Roman" w:hAnsi="Times New Roman" w:cs="Times New Roman"/>
          <w:sz w:val="20"/>
          <w:szCs w:val="20"/>
        </w:rPr>
        <w:t xml:space="preserve">ments.  In </w:t>
      </w:r>
      <w:bookmarkStart w:id="6" w:name="_Hlk496524295"/>
      <w:r w:rsidR="0025508F">
        <w:rPr>
          <w:rFonts w:ascii="Times New Roman" w:hAnsi="Times New Roman" w:cs="Times New Roman"/>
          <w:sz w:val="20"/>
          <w:szCs w:val="20"/>
        </w:rPr>
        <w:t>Matter of Global Teachers Research and Resources, Inc.</w:t>
      </w:r>
      <w:r w:rsidRPr="00490D4C">
        <w:rPr>
          <w:rFonts w:ascii="Times New Roman" w:hAnsi="Times New Roman" w:cs="Times New Roman"/>
          <w:sz w:val="20"/>
          <w:szCs w:val="20"/>
        </w:rPr>
        <w:t>,</w:t>
      </w:r>
      <w:r w:rsidR="0025508F">
        <w:rPr>
          <w:rFonts w:ascii="Times New Roman" w:hAnsi="Times New Roman" w:cs="Times New Roman"/>
          <w:sz w:val="20"/>
          <w:szCs w:val="20"/>
        </w:rPr>
        <w:t xml:space="preserve"> 2017 BALCA LEXIS 583 (Apr. 5, 2017)</w:t>
      </w:r>
      <w:bookmarkEnd w:id="6"/>
      <w:r w:rsidR="0025508F">
        <w:rPr>
          <w:rFonts w:ascii="Times New Roman" w:hAnsi="Times New Roman" w:cs="Times New Roman"/>
          <w:sz w:val="20"/>
          <w:szCs w:val="20"/>
        </w:rPr>
        <w:t xml:space="preserve">, BALCA noted the presence of the Kellogg language and </w:t>
      </w:r>
      <w:r w:rsidRPr="00490D4C">
        <w:rPr>
          <w:rFonts w:ascii="Times New Roman" w:hAnsi="Times New Roman" w:cs="Times New Roman"/>
          <w:sz w:val="20"/>
          <w:szCs w:val="20"/>
        </w:rPr>
        <w:t>suggested the use of an SVP equivalence test as a way of determining whether an applicant should have been interviewed.</w:t>
      </w:r>
    </w:p>
  </w:footnote>
  <w:footnote w:id="14">
    <w:p w14:paraId="09906235" w14:textId="33351C55" w:rsidR="00154518" w:rsidRPr="00154518" w:rsidRDefault="00154518">
      <w:pPr>
        <w:pStyle w:val="FootnoteText"/>
        <w:rPr>
          <w:sz w:val="20"/>
          <w:szCs w:val="20"/>
        </w:rPr>
      </w:pPr>
      <w:r>
        <w:rPr>
          <w:rStyle w:val="FootnoteReference"/>
        </w:rPr>
        <w:footnoteRef/>
      </w:r>
      <w:r>
        <w:t xml:space="preserve"> </w:t>
      </w:r>
      <w:bookmarkStart w:id="7" w:name="_Hlk496524307"/>
      <w:r>
        <w:rPr>
          <w:rFonts w:ascii="Times New Roman" w:hAnsi="Times New Roman" w:cs="Times New Roman"/>
          <w:sz w:val="20"/>
          <w:szCs w:val="20"/>
        </w:rPr>
        <w:t xml:space="preserve">Matter of Kohn Pedersen Fox Associates PC, 2016 BALCA LEXIS 878 (BALCA Nov. 25, 2016) </w:t>
      </w:r>
      <w:bookmarkEnd w:id="7"/>
      <w:r w:rsidRPr="00154518">
        <w:rPr>
          <w:rFonts w:ascii="Times New Roman" w:hAnsi="Times New Roman" w:cs="Times New Roman"/>
          <w:sz w:val="20"/>
          <w:szCs w:val="20"/>
        </w:rPr>
        <w:t>(</w:t>
      </w:r>
      <w:r w:rsidRPr="00154518">
        <w:rPr>
          <w:rFonts w:ascii="Times New Roman" w:hAnsi="Times New Roman" w:cs="Times New Roman"/>
          <w:i/>
          <w:color w:val="000000" w:themeColor="text1"/>
          <w:sz w:val="20"/>
          <w:szCs w:val="20"/>
        </w:rPr>
        <w:t>“[t]he Board has long held that an employer may not reject a U.S. applicant based on a belief that the applicant is overqualified for the position,”</w:t>
      </w:r>
      <w:r w:rsidRPr="00154518">
        <w:rPr>
          <w:rFonts w:ascii="Times New Roman" w:hAnsi="Times New Roman" w:cs="Times New Roman"/>
          <w:color w:val="000000" w:themeColor="text1"/>
          <w:sz w:val="20"/>
          <w:szCs w:val="20"/>
        </w:rPr>
        <w:t xml:space="preserve"> (citing </w:t>
      </w:r>
      <w:r w:rsidRPr="00154518">
        <w:rPr>
          <w:rFonts w:ascii="Times New Roman" w:hAnsi="Times New Roman" w:cs="Times New Roman"/>
          <w:i/>
          <w:color w:val="000000" w:themeColor="text1"/>
          <w:sz w:val="20"/>
          <w:szCs w:val="20"/>
        </w:rPr>
        <w:t>Bronx Medical and Dental Clinic</w:t>
      </w:r>
      <w:r w:rsidRPr="00154518">
        <w:rPr>
          <w:rStyle w:val="FootnoteReference"/>
          <w:rFonts w:ascii="Times New Roman" w:hAnsi="Times New Roman" w:cs="Times New Roman"/>
          <w:color w:val="000000" w:themeColor="text1"/>
          <w:sz w:val="20"/>
          <w:szCs w:val="20"/>
        </w:rPr>
        <w:footnoteRef/>
      </w:r>
      <w:r w:rsidRPr="00154518">
        <w:rPr>
          <w:rFonts w:ascii="Times New Roman" w:hAnsi="Times New Roman" w:cs="Times New Roman"/>
          <w:color w:val="000000" w:themeColor="text1"/>
          <w:sz w:val="20"/>
          <w:szCs w:val="20"/>
        </w:rPr>
        <w:t xml:space="preserve">) and that </w:t>
      </w:r>
      <w:r w:rsidRPr="00154518">
        <w:rPr>
          <w:rFonts w:ascii="Times New Roman" w:hAnsi="Times New Roman" w:cs="Times New Roman"/>
          <w:i/>
          <w:color w:val="000000" w:themeColor="text1"/>
          <w:sz w:val="20"/>
          <w:szCs w:val="20"/>
        </w:rPr>
        <w:t xml:space="preserve">“Board panels have also held an Employer may reject a qualified U.S. applicant as unwilling to accept the wages offered </w:t>
      </w:r>
      <w:r w:rsidRPr="00154518">
        <w:rPr>
          <w:rFonts w:ascii="Times New Roman" w:hAnsi="Times New Roman" w:cs="Times New Roman"/>
          <w:b/>
          <w:i/>
          <w:color w:val="000000" w:themeColor="text1"/>
          <w:sz w:val="20"/>
          <w:szCs w:val="20"/>
        </w:rPr>
        <w:t>only</w:t>
      </w:r>
      <w:r w:rsidRPr="00154518">
        <w:rPr>
          <w:rFonts w:ascii="Times New Roman" w:hAnsi="Times New Roman" w:cs="Times New Roman"/>
          <w:i/>
          <w:color w:val="000000" w:themeColor="text1"/>
          <w:sz w:val="20"/>
          <w:szCs w:val="20"/>
        </w:rPr>
        <w:t xml:space="preserve"> after the position has been offered to the applicant at the salary listed, and there is documentation of the offer and applicant’s refusal to accept the position at the offered wages.”</w:t>
      </w:r>
      <w:r w:rsidRPr="00154518">
        <w:rPr>
          <w:rFonts w:ascii="Times New Roman" w:hAnsi="Times New Roman" w:cs="Times New Roman"/>
          <w:color w:val="000000" w:themeColor="text1"/>
          <w:sz w:val="20"/>
          <w:szCs w:val="20"/>
        </w:rPr>
        <w:t>)</w:t>
      </w:r>
    </w:p>
  </w:footnote>
  <w:footnote w:id="15">
    <w:p w14:paraId="68917B1F" w14:textId="1A3D38E5" w:rsidR="00727952" w:rsidRDefault="00727952">
      <w:pPr>
        <w:pStyle w:val="FootnoteText"/>
      </w:pPr>
      <w:r>
        <w:rPr>
          <w:rStyle w:val="FootnoteReference"/>
        </w:rPr>
        <w:footnoteRef/>
      </w:r>
      <w:r>
        <w:t xml:space="preserve"> </w:t>
      </w:r>
      <w:r w:rsidR="00D40AA0">
        <w:rPr>
          <w:rFonts w:ascii="Times New Roman" w:hAnsi="Times New Roman" w:cs="Times New Roman"/>
          <w:sz w:val="20"/>
          <w:szCs w:val="20"/>
        </w:rPr>
        <w:t>Matter of Academic Partnerships, LLC, 2016 BALCA LEXIS 917 (BALCA Dec. 7, 2016).</w:t>
      </w:r>
    </w:p>
  </w:footnote>
  <w:footnote w:id="16">
    <w:p w14:paraId="45CC5B04" w14:textId="7AA6F4E0" w:rsidR="00D03AB7" w:rsidRDefault="00D03AB7">
      <w:pPr>
        <w:pStyle w:val="FootnoteText"/>
      </w:pPr>
      <w:r>
        <w:rPr>
          <w:rStyle w:val="FootnoteReference"/>
        </w:rPr>
        <w:footnoteRef/>
      </w:r>
      <w:r>
        <w:t xml:space="preserve"> </w:t>
      </w:r>
      <w:bookmarkStart w:id="8" w:name="_Hlk496524323"/>
      <w:r>
        <w:rPr>
          <w:rFonts w:ascii="Times New Roman" w:hAnsi="Times New Roman" w:cs="Times New Roman"/>
          <w:sz w:val="20"/>
          <w:szCs w:val="20"/>
        </w:rPr>
        <w:t xml:space="preserve">Matter of </w:t>
      </w:r>
      <w:proofErr w:type="spellStart"/>
      <w:r>
        <w:rPr>
          <w:rFonts w:ascii="Times New Roman" w:hAnsi="Times New Roman" w:cs="Times New Roman"/>
          <w:sz w:val="20"/>
          <w:szCs w:val="20"/>
        </w:rPr>
        <w:t>Techorbits</w:t>
      </w:r>
      <w:proofErr w:type="spellEnd"/>
      <w:r>
        <w:rPr>
          <w:rFonts w:ascii="Times New Roman" w:hAnsi="Times New Roman" w:cs="Times New Roman"/>
          <w:sz w:val="20"/>
          <w:szCs w:val="20"/>
        </w:rPr>
        <w:t xml:space="preserve"> Inc., 2016 BALCA LEXIS 927 (BALCA Dec. 9, 2016); Matter of Kim Howard Corporation, 2016 BALCA LEXIS 909 (BALCA Dec. 6, 2016).</w:t>
      </w:r>
      <w:bookmarkEnd w:id="8"/>
    </w:p>
  </w:footnote>
  <w:footnote w:id="17">
    <w:p w14:paraId="79C30C19" w14:textId="0BB31C93" w:rsidR="00727952" w:rsidRDefault="00727952">
      <w:pPr>
        <w:pStyle w:val="FootnoteText"/>
      </w:pPr>
      <w:r>
        <w:rPr>
          <w:rStyle w:val="FootnoteReference"/>
        </w:rPr>
        <w:footnoteRef/>
      </w:r>
      <w:r>
        <w:t xml:space="preserve"> </w:t>
      </w:r>
      <w:bookmarkStart w:id="9" w:name="_Hlk496524343"/>
      <w:r w:rsidR="00C8774A">
        <w:rPr>
          <w:rFonts w:ascii="Times New Roman" w:hAnsi="Times New Roman" w:cs="Times New Roman"/>
          <w:sz w:val="20"/>
          <w:szCs w:val="20"/>
        </w:rPr>
        <w:t>Matter of SolarCity, 2017 BALCA LEXIS 132 (Feb. 1, 2017</w:t>
      </w:r>
      <w:r w:rsidR="004F6070">
        <w:rPr>
          <w:rFonts w:ascii="Times New Roman" w:hAnsi="Times New Roman" w:cs="Times New Roman"/>
          <w:sz w:val="20"/>
          <w:szCs w:val="20"/>
        </w:rPr>
        <w:t>)</w:t>
      </w:r>
      <w:r w:rsidR="00C8774A">
        <w:rPr>
          <w:rFonts w:ascii="Times New Roman" w:hAnsi="Times New Roman" w:cs="Times New Roman"/>
          <w:sz w:val="20"/>
          <w:szCs w:val="20"/>
        </w:rPr>
        <w:t>.</w:t>
      </w:r>
      <w:bookmarkEnd w:id="9"/>
    </w:p>
  </w:footnote>
  <w:footnote w:id="18">
    <w:p w14:paraId="58FCFE07" w14:textId="6B8BA235" w:rsidR="004F6070" w:rsidRPr="004F6070" w:rsidRDefault="004F6070" w:rsidP="004F6070">
      <w:pPr>
        <w:widowControl w:val="0"/>
        <w:autoSpaceDE w:val="0"/>
        <w:autoSpaceDN w:val="0"/>
        <w:adjustRightInd w:val="0"/>
        <w:jc w:val="both"/>
        <w:rPr>
          <w:rFonts w:ascii="Times New Roman" w:hAnsi="Times New Roman" w:cs="Times New Roman"/>
          <w:sz w:val="20"/>
          <w:szCs w:val="20"/>
        </w:rPr>
      </w:pPr>
      <w:r>
        <w:rPr>
          <w:rStyle w:val="FootnoteReference"/>
        </w:rPr>
        <w:footnoteRef/>
      </w:r>
      <w:r>
        <w:t xml:space="preserve"> </w:t>
      </w:r>
      <w:r w:rsidRPr="004F6070">
        <w:rPr>
          <w:rFonts w:ascii="Times New Roman" w:hAnsi="Times New Roman" w:cs="Times New Roman"/>
          <w:sz w:val="20"/>
          <w:szCs w:val="20"/>
        </w:rPr>
        <w:t xml:space="preserve">Interestingly, a legal basis for the CO to intervene in an employer’s applicant review process </w:t>
      </w:r>
      <w:r>
        <w:rPr>
          <w:rFonts w:ascii="Times New Roman" w:hAnsi="Times New Roman" w:cs="Times New Roman"/>
          <w:sz w:val="20"/>
          <w:szCs w:val="20"/>
        </w:rPr>
        <w:t xml:space="preserve">that has NOT been invoked by either the CO or BALCA </w:t>
      </w:r>
      <w:r w:rsidRPr="004F6070">
        <w:rPr>
          <w:rFonts w:ascii="Times New Roman" w:hAnsi="Times New Roman" w:cs="Times New Roman"/>
          <w:sz w:val="20"/>
          <w:szCs w:val="20"/>
        </w:rPr>
        <w:t>can be found in the regulation at 20 CFR 656.24(b)(2)(i), which states that</w:t>
      </w:r>
      <w:r w:rsidR="009970C1">
        <w:rPr>
          <w:rFonts w:ascii="Times New Roman" w:hAnsi="Times New Roman" w:cs="Times New Roman"/>
          <w:sz w:val="20"/>
          <w:szCs w:val="20"/>
        </w:rPr>
        <w:t>:</w:t>
      </w:r>
    </w:p>
    <w:p w14:paraId="7CAA49AD" w14:textId="77777777" w:rsidR="004F6070" w:rsidRPr="004F6070" w:rsidRDefault="004F6070" w:rsidP="004F6070">
      <w:pPr>
        <w:widowControl w:val="0"/>
        <w:autoSpaceDE w:val="0"/>
        <w:autoSpaceDN w:val="0"/>
        <w:adjustRightInd w:val="0"/>
        <w:jc w:val="both"/>
        <w:rPr>
          <w:rFonts w:ascii="Times New Roman" w:hAnsi="Times New Roman" w:cs="Times New Roman"/>
          <w:sz w:val="20"/>
          <w:szCs w:val="20"/>
        </w:rPr>
      </w:pPr>
    </w:p>
    <w:p w14:paraId="2BD96AB5" w14:textId="77777777" w:rsidR="004F6070" w:rsidRPr="004F6070" w:rsidRDefault="004F6070" w:rsidP="004F6070">
      <w:pPr>
        <w:widowControl w:val="0"/>
        <w:autoSpaceDE w:val="0"/>
        <w:autoSpaceDN w:val="0"/>
        <w:adjustRightInd w:val="0"/>
        <w:ind w:left="720"/>
        <w:jc w:val="both"/>
        <w:rPr>
          <w:rFonts w:ascii="Times New Roman" w:hAnsi="Times New Roman" w:cs="Times New Roman"/>
          <w:sz w:val="20"/>
          <w:szCs w:val="20"/>
        </w:rPr>
      </w:pPr>
      <w:r w:rsidRPr="004F6070">
        <w:rPr>
          <w:rFonts w:ascii="Times New Roman" w:hAnsi="Times New Roman" w:cs="Times New Roman"/>
          <w:sz w:val="20"/>
          <w:szCs w:val="20"/>
        </w:rPr>
        <w:t>“</w:t>
      </w:r>
      <w:r w:rsidRPr="00D9704E">
        <w:rPr>
          <w:rFonts w:ascii="Times New Roman" w:hAnsi="Times New Roman" w:cs="Times New Roman"/>
          <w:i/>
          <w:sz w:val="20"/>
          <w:szCs w:val="20"/>
        </w:rPr>
        <w:t xml:space="preserve">[t]he Certifying Officer must consider a U.S. worker able and qualified for the job opportunity if the worker, by education, training, experience or a combination thereof, is able to perform in the normally accepted manner </w:t>
      </w:r>
      <w:r w:rsidRPr="00D9704E">
        <w:rPr>
          <w:rFonts w:ascii="Times New Roman" w:hAnsi="Times New Roman" w:cs="Times New Roman"/>
          <w:i/>
          <w:sz w:val="20"/>
          <w:szCs w:val="20"/>
          <w:u w:val="single"/>
        </w:rPr>
        <w:t>the duties involved in the occupation</w:t>
      </w:r>
      <w:r w:rsidRPr="00D9704E">
        <w:rPr>
          <w:rFonts w:ascii="Times New Roman" w:hAnsi="Times New Roman" w:cs="Times New Roman"/>
          <w:i/>
          <w:sz w:val="20"/>
          <w:szCs w:val="20"/>
        </w:rPr>
        <w:t xml:space="preserve"> as customarily performed by other U.S. workers similarly employed. . . a U.S. worker is able and qualified for the job opportunity if the worker can acquire the skills necessary to perform </w:t>
      </w:r>
      <w:r w:rsidRPr="00D9704E">
        <w:rPr>
          <w:rFonts w:ascii="Times New Roman" w:hAnsi="Times New Roman" w:cs="Times New Roman"/>
          <w:i/>
          <w:sz w:val="20"/>
          <w:szCs w:val="20"/>
          <w:u w:val="single"/>
        </w:rPr>
        <w:t>the duties involved in the occupation</w:t>
      </w:r>
      <w:r w:rsidRPr="00D9704E">
        <w:rPr>
          <w:rFonts w:ascii="Times New Roman" w:hAnsi="Times New Roman" w:cs="Times New Roman"/>
          <w:i/>
          <w:sz w:val="20"/>
          <w:szCs w:val="20"/>
        </w:rPr>
        <w:t xml:space="preserve"> during a reasonable period of on-the-job training</w:t>
      </w:r>
      <w:r w:rsidRPr="004F6070">
        <w:rPr>
          <w:rFonts w:ascii="Times New Roman" w:hAnsi="Times New Roman" w:cs="Times New Roman"/>
          <w:sz w:val="20"/>
          <w:szCs w:val="20"/>
        </w:rPr>
        <w:t>.” (emphasis added)</w:t>
      </w:r>
    </w:p>
    <w:p w14:paraId="4EDF7B25" w14:textId="77777777" w:rsidR="004F6070" w:rsidRPr="004F6070" w:rsidRDefault="004F6070" w:rsidP="004F6070">
      <w:pPr>
        <w:widowControl w:val="0"/>
        <w:autoSpaceDE w:val="0"/>
        <w:autoSpaceDN w:val="0"/>
        <w:adjustRightInd w:val="0"/>
        <w:jc w:val="both"/>
        <w:rPr>
          <w:rFonts w:ascii="Times New Roman" w:hAnsi="Times New Roman" w:cs="Times New Roman"/>
          <w:sz w:val="20"/>
          <w:szCs w:val="20"/>
        </w:rPr>
      </w:pPr>
    </w:p>
    <w:p w14:paraId="6E8408AA" w14:textId="3652604B" w:rsidR="004F6070" w:rsidRPr="004F6070" w:rsidRDefault="004F6070" w:rsidP="004F6070">
      <w:pPr>
        <w:widowControl w:val="0"/>
        <w:autoSpaceDE w:val="0"/>
        <w:autoSpaceDN w:val="0"/>
        <w:adjustRightInd w:val="0"/>
        <w:jc w:val="both"/>
        <w:rPr>
          <w:rFonts w:ascii="Times New Roman" w:hAnsi="Times New Roman" w:cs="Times New Roman"/>
          <w:sz w:val="20"/>
          <w:szCs w:val="20"/>
        </w:rPr>
      </w:pPr>
      <w:r w:rsidRPr="004F6070">
        <w:rPr>
          <w:rFonts w:ascii="Times New Roman" w:hAnsi="Times New Roman" w:cs="Times New Roman"/>
          <w:sz w:val="20"/>
          <w:szCs w:val="20"/>
        </w:rPr>
        <w:t>This language would permit the CO to shift the inquiry away from what is required to do the specific job that is the subject of the PERM application, and toward what is required to perform “</w:t>
      </w:r>
      <w:r w:rsidRPr="00D9704E">
        <w:rPr>
          <w:rFonts w:ascii="Times New Roman" w:hAnsi="Times New Roman" w:cs="Times New Roman"/>
          <w:i/>
          <w:sz w:val="20"/>
          <w:szCs w:val="20"/>
        </w:rPr>
        <w:t>the duties involved in the occupation</w:t>
      </w:r>
      <w:r w:rsidRPr="004F6070">
        <w:rPr>
          <w:rFonts w:ascii="Times New Roman" w:hAnsi="Times New Roman" w:cs="Times New Roman"/>
          <w:sz w:val="20"/>
          <w:szCs w:val="20"/>
        </w:rPr>
        <w:t>,” which presumably would be more generic in nature.</w:t>
      </w:r>
      <w:r w:rsidR="004D05C1">
        <w:rPr>
          <w:rFonts w:ascii="Times New Roman" w:hAnsi="Times New Roman" w:cs="Times New Roman"/>
          <w:sz w:val="20"/>
          <w:szCs w:val="20"/>
        </w:rPr>
        <w:t xml:space="preserve">  The</w:t>
      </w:r>
      <w:r w:rsidR="005A6A45">
        <w:rPr>
          <w:rFonts w:ascii="Times New Roman" w:hAnsi="Times New Roman" w:cs="Times New Roman"/>
          <w:sz w:val="20"/>
          <w:szCs w:val="20"/>
        </w:rPr>
        <w:t xml:space="preserve"> potential</w:t>
      </w:r>
      <w:r w:rsidR="004D05C1">
        <w:rPr>
          <w:rFonts w:ascii="Times New Roman" w:hAnsi="Times New Roman" w:cs="Times New Roman"/>
          <w:sz w:val="20"/>
          <w:szCs w:val="20"/>
        </w:rPr>
        <w:t xml:space="preserve"> shift from specific job opportunity to gener</w:t>
      </w:r>
      <w:r w:rsidR="005A6A45">
        <w:rPr>
          <w:rFonts w:ascii="Times New Roman" w:hAnsi="Times New Roman" w:cs="Times New Roman"/>
          <w:sz w:val="20"/>
          <w:szCs w:val="20"/>
        </w:rPr>
        <w:t>ic occupation would have the effect of swallowing the rest</w:t>
      </w:r>
      <w:r w:rsidR="004D05C1">
        <w:rPr>
          <w:rFonts w:ascii="Times New Roman" w:hAnsi="Times New Roman" w:cs="Times New Roman"/>
          <w:sz w:val="20"/>
          <w:szCs w:val="20"/>
        </w:rPr>
        <w:t xml:space="preserve"> of </w:t>
      </w:r>
      <w:r w:rsidR="005A6A45">
        <w:rPr>
          <w:rFonts w:ascii="Times New Roman" w:hAnsi="Times New Roman" w:cs="Times New Roman"/>
          <w:sz w:val="20"/>
          <w:szCs w:val="20"/>
        </w:rPr>
        <w:t xml:space="preserve">the </w:t>
      </w:r>
      <w:r w:rsidR="004D05C1">
        <w:rPr>
          <w:rFonts w:ascii="Times New Roman" w:hAnsi="Times New Roman" w:cs="Times New Roman"/>
          <w:sz w:val="20"/>
          <w:szCs w:val="20"/>
        </w:rPr>
        <w:t xml:space="preserve">PERM labor certification process and render it meaningless, </w:t>
      </w:r>
      <w:r w:rsidR="005A6A45">
        <w:rPr>
          <w:rFonts w:ascii="Times New Roman" w:hAnsi="Times New Roman" w:cs="Times New Roman"/>
          <w:sz w:val="20"/>
          <w:szCs w:val="20"/>
        </w:rPr>
        <w:t>which may be why neither the CO nor BALCA have elected to use it.</w:t>
      </w:r>
      <w:r w:rsidRPr="004F6070">
        <w:rPr>
          <w:rFonts w:ascii="Times New Roman" w:hAnsi="Times New Roman" w:cs="Times New Roman"/>
          <w:sz w:val="20"/>
          <w:szCs w:val="20"/>
        </w:rPr>
        <w:t xml:space="preserve">  </w:t>
      </w:r>
    </w:p>
    <w:p w14:paraId="1417F7E1" w14:textId="222AA4B2" w:rsidR="004F6070" w:rsidRDefault="004F6070">
      <w:pPr>
        <w:pStyle w:val="FootnoteText"/>
      </w:pPr>
    </w:p>
  </w:footnote>
  <w:footnote w:id="19">
    <w:p w14:paraId="4A5413E0" w14:textId="6CB2FC0E" w:rsidR="00A329B9" w:rsidRPr="000C76B5" w:rsidRDefault="00A329B9">
      <w:pPr>
        <w:pStyle w:val="FootnoteText"/>
        <w:rPr>
          <w:rFonts w:ascii="Times New Roman" w:hAnsi="Times New Roman" w:cs="Times New Roman"/>
          <w:color w:val="000000" w:themeColor="text1"/>
          <w:sz w:val="20"/>
          <w:szCs w:val="20"/>
        </w:rPr>
      </w:pPr>
      <w:r>
        <w:rPr>
          <w:rStyle w:val="FootnoteReference"/>
        </w:rPr>
        <w:footnoteRef/>
      </w:r>
      <w:r>
        <w:t xml:space="preserve"> </w:t>
      </w:r>
      <w:r w:rsidRPr="000C76B5">
        <w:rPr>
          <w:rFonts w:ascii="Times New Roman" w:hAnsi="Times New Roman" w:cs="Times New Roman"/>
          <w:i/>
          <w:color w:val="000000" w:themeColor="text1"/>
          <w:sz w:val="20"/>
          <w:szCs w:val="20"/>
        </w:rPr>
        <w:t xml:space="preserve">See, e.g., </w:t>
      </w:r>
      <w:r w:rsidRPr="000C76B5">
        <w:rPr>
          <w:rFonts w:ascii="Times New Roman" w:hAnsi="Times New Roman" w:cs="Times New Roman"/>
          <w:color w:val="000000" w:themeColor="text1"/>
          <w:sz w:val="20"/>
          <w:szCs w:val="20"/>
        </w:rPr>
        <w:t xml:space="preserve">Matter of </w:t>
      </w:r>
      <w:proofErr w:type="spellStart"/>
      <w:r w:rsidRPr="000C76B5">
        <w:rPr>
          <w:rFonts w:ascii="Times New Roman" w:hAnsi="Times New Roman" w:cs="Times New Roman"/>
          <w:color w:val="000000" w:themeColor="text1"/>
          <w:sz w:val="20"/>
          <w:szCs w:val="20"/>
        </w:rPr>
        <w:t>Netapp</w:t>
      </w:r>
      <w:proofErr w:type="spellEnd"/>
      <w:r w:rsidRPr="000C76B5">
        <w:rPr>
          <w:rFonts w:ascii="Times New Roman" w:hAnsi="Times New Roman" w:cs="Times New Roman"/>
          <w:color w:val="000000" w:themeColor="text1"/>
          <w:sz w:val="20"/>
          <w:szCs w:val="20"/>
        </w:rPr>
        <w:t xml:space="preserve">, Inc., 2017 </w:t>
      </w:r>
      <w:r w:rsidR="000C76B5" w:rsidRPr="000C76B5">
        <w:rPr>
          <w:rFonts w:ascii="Times New Roman" w:hAnsi="Times New Roman" w:cs="Times New Roman"/>
          <w:color w:val="000000" w:themeColor="text1"/>
          <w:sz w:val="20"/>
          <w:szCs w:val="20"/>
        </w:rPr>
        <w:t>BALCA LEXIS 104 (Jan. 25, 2017) (certification denied for position of Software Developer, Systems Software, requiring a Master’s degree in Computer Science, Engineering or a related technical field, no training or experience, and special skills. The employer had rejected without interview four applicants who met the Master’s degree requirement and had substantial work experience but did not list all of the required skills on their resumes.  BALCA concluded that “</w:t>
      </w:r>
      <w:r w:rsidR="000C76B5" w:rsidRPr="000C76B5">
        <w:rPr>
          <w:rFonts w:ascii="Times New Roman" w:hAnsi="Times New Roman" w:cs="Times New Roman"/>
          <w:i/>
          <w:color w:val="000000" w:themeColor="text1"/>
          <w:sz w:val="20"/>
          <w:szCs w:val="20"/>
        </w:rPr>
        <w:t>because each of the four U.S. applicants possessed the requisite educational background and experience, the Employer had a duty to interview these applicants”</w:t>
      </w:r>
      <w:r w:rsidR="000C76B5" w:rsidRPr="000C76B5">
        <w:rPr>
          <w:rFonts w:ascii="Times New Roman" w:hAnsi="Times New Roman" w:cs="Times New Roman"/>
          <w:color w:val="000000" w:themeColor="text1"/>
          <w:sz w:val="20"/>
          <w:szCs w:val="20"/>
        </w:rPr>
        <w:t>)</w:t>
      </w:r>
    </w:p>
  </w:footnote>
  <w:footnote w:id="20">
    <w:p w14:paraId="57C7709E" w14:textId="784ABFDF" w:rsidR="000C76B5" w:rsidRPr="0012085E" w:rsidRDefault="000C76B5">
      <w:pPr>
        <w:pStyle w:val="FootnoteText"/>
        <w:rPr>
          <w:i/>
        </w:rPr>
      </w:pPr>
      <w:r>
        <w:rPr>
          <w:rStyle w:val="FootnoteReference"/>
        </w:rPr>
        <w:footnoteRef/>
      </w:r>
      <w:r>
        <w:t xml:space="preserve"> </w:t>
      </w:r>
      <w:r w:rsidR="0012085E" w:rsidRPr="0012085E">
        <w:rPr>
          <w:rFonts w:ascii="Times New Roman" w:hAnsi="Times New Roman" w:cs="Times New Roman"/>
          <w:i/>
          <w:sz w:val="20"/>
          <w:szCs w:val="20"/>
        </w:rPr>
        <w:t>Id.</w:t>
      </w:r>
    </w:p>
  </w:footnote>
  <w:footnote w:id="21">
    <w:p w14:paraId="04DAED4F" w14:textId="09959A12" w:rsidR="000C76B5" w:rsidRDefault="000C76B5">
      <w:pPr>
        <w:pStyle w:val="FootnoteText"/>
      </w:pPr>
      <w:r>
        <w:rPr>
          <w:rStyle w:val="FootnoteReference"/>
        </w:rPr>
        <w:footnoteRef/>
      </w:r>
      <w:r>
        <w:t xml:space="preserve"> </w:t>
      </w:r>
      <w:r w:rsidR="003E30D2">
        <w:rPr>
          <w:rFonts w:ascii="Times New Roman" w:hAnsi="Times New Roman" w:cs="Times New Roman"/>
          <w:sz w:val="20"/>
          <w:szCs w:val="20"/>
        </w:rPr>
        <w:t>Matter of Transamerica Life Insurance Co., 2017 BALCA LEXIS 258 (Feb. 22, 2017); Matter of Academic Partnerships, LLC, 2016 BALCA LEXIS 917 (BALCA Dec. 7, 2016).</w:t>
      </w:r>
    </w:p>
  </w:footnote>
  <w:footnote w:id="22">
    <w:p w14:paraId="0893EDBF" w14:textId="227B69AF" w:rsidR="00A329B9" w:rsidRPr="00A329B9" w:rsidRDefault="00A329B9">
      <w:pPr>
        <w:pStyle w:val="FootnoteText"/>
        <w:rPr>
          <w:rFonts w:ascii="Times New Roman" w:hAnsi="Times New Roman" w:cs="Times New Roman"/>
          <w:sz w:val="20"/>
          <w:szCs w:val="20"/>
        </w:rPr>
      </w:pPr>
      <w:r>
        <w:rPr>
          <w:rStyle w:val="FootnoteReference"/>
        </w:rPr>
        <w:footnoteRef/>
      </w:r>
      <w:r>
        <w:t xml:space="preserve"> </w:t>
      </w:r>
      <w:r w:rsidR="0012085E">
        <w:rPr>
          <w:rFonts w:ascii="Times New Roman" w:hAnsi="Times New Roman" w:cs="Times New Roman"/>
          <w:i/>
          <w:sz w:val="20"/>
          <w:szCs w:val="20"/>
        </w:rPr>
        <w:t>See</w:t>
      </w:r>
      <w:r>
        <w:rPr>
          <w:rFonts w:ascii="Times New Roman" w:hAnsi="Times New Roman" w:cs="Times New Roman"/>
          <w:i/>
          <w:sz w:val="20"/>
          <w:szCs w:val="20"/>
        </w:rPr>
        <w:t xml:space="preserve"> </w:t>
      </w:r>
      <w:r>
        <w:rPr>
          <w:rFonts w:ascii="Times New Roman" w:hAnsi="Times New Roman" w:cs="Times New Roman"/>
          <w:sz w:val="20"/>
          <w:szCs w:val="20"/>
        </w:rPr>
        <w:t xml:space="preserve">Matter of Transamerica Life Insurance Co., 2017 BALCA LEXIS 258 (Feb. 22, 2017); </w:t>
      </w:r>
      <w:r w:rsidRPr="00ED3957">
        <w:rPr>
          <w:rFonts w:ascii="Times New Roman" w:hAnsi="Times New Roman" w:cs="Times New Roman"/>
          <w:sz w:val="20"/>
          <w:szCs w:val="20"/>
        </w:rPr>
        <w:t>Matter of Global Teachers Research and Resources, Inc. 2017 BALCA LEXIS 583 (Apr. 5, 2017).</w:t>
      </w:r>
    </w:p>
  </w:footnote>
  <w:footnote w:id="23">
    <w:p w14:paraId="04AFB582" w14:textId="2591985C" w:rsidR="00FF32FE" w:rsidRDefault="00FF32FE">
      <w:pPr>
        <w:pStyle w:val="FootnoteText"/>
      </w:pPr>
      <w:r>
        <w:rPr>
          <w:rStyle w:val="FootnoteReference"/>
        </w:rPr>
        <w:footnoteRef/>
      </w:r>
      <w:r>
        <w:t xml:space="preserve"> </w:t>
      </w:r>
      <w:r w:rsidRPr="00FF32FE">
        <w:rPr>
          <w:rFonts w:ascii="Times New Roman" w:hAnsi="Times New Roman" w:cs="Times New Roman"/>
          <w:sz w:val="20"/>
          <w:szCs w:val="20"/>
        </w:rPr>
        <w:t>This can be done, for example, by having an applicant acknowledge in writing that they have withdrawn their application.</w:t>
      </w:r>
    </w:p>
  </w:footnote>
  <w:footnote w:id="24">
    <w:p w14:paraId="73B94A7D" w14:textId="52D9FD52" w:rsidR="00C46818" w:rsidRPr="00C46818" w:rsidRDefault="00C46818">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i/>
          <w:sz w:val="20"/>
          <w:szCs w:val="20"/>
        </w:rPr>
        <w:t xml:space="preserve">See </w:t>
      </w:r>
      <w:bookmarkStart w:id="10" w:name="_Hlk496524415"/>
      <w:r w:rsidRPr="00424E1D">
        <w:rPr>
          <w:rFonts w:ascii="Times New Roman" w:hAnsi="Times New Roman" w:cs="Times New Roman"/>
          <w:sz w:val="20"/>
          <w:szCs w:val="20"/>
        </w:rPr>
        <w:t xml:space="preserve">Matter of </w:t>
      </w:r>
      <w:proofErr w:type="spellStart"/>
      <w:r w:rsidRPr="00424E1D">
        <w:rPr>
          <w:rFonts w:ascii="Times New Roman" w:hAnsi="Times New Roman" w:cs="Times New Roman"/>
          <w:sz w:val="20"/>
          <w:szCs w:val="20"/>
        </w:rPr>
        <w:t>Clearstructure</w:t>
      </w:r>
      <w:proofErr w:type="spellEnd"/>
      <w:r w:rsidRPr="00424E1D">
        <w:rPr>
          <w:rFonts w:ascii="Times New Roman" w:hAnsi="Times New Roman" w:cs="Times New Roman"/>
          <w:sz w:val="20"/>
          <w:szCs w:val="20"/>
        </w:rPr>
        <w:t xml:space="preserve"> Financial Technology LLC, 2017 BALCA LEXIS 402</w:t>
      </w:r>
      <w:r>
        <w:rPr>
          <w:rFonts w:ascii="Times New Roman" w:hAnsi="Times New Roman" w:cs="Times New Roman"/>
          <w:sz w:val="20"/>
          <w:szCs w:val="20"/>
        </w:rPr>
        <w:t xml:space="preserve"> (March 10, 2017) </w:t>
      </w:r>
      <w:bookmarkEnd w:id="10"/>
      <w:r w:rsidRPr="00A329B9">
        <w:rPr>
          <w:rFonts w:ascii="Times New Roman" w:hAnsi="Times New Roman" w:cs="Times New Roman"/>
          <w:sz w:val="20"/>
          <w:szCs w:val="20"/>
        </w:rPr>
        <w:t>(</w:t>
      </w:r>
      <w:r w:rsidRPr="00A329B9">
        <w:rPr>
          <w:rFonts w:ascii="Times New Roman" w:hAnsi="Times New Roman" w:cs="Times New Roman"/>
          <w:color w:val="000000" w:themeColor="text1"/>
          <w:sz w:val="20"/>
          <w:szCs w:val="20"/>
        </w:rPr>
        <w:t xml:space="preserve">position for a Marketing Analyst required a Bachelor’s Degree in Marketing or a related field + one year of experience in the job offered, no special skills required.  Certification was denied by the Certifying Officer who found that a U.S. applicant with a Master’s Degree in Finance + 5 </w:t>
      </w:r>
      <w:proofErr w:type="spellStart"/>
      <w:r w:rsidRPr="00A329B9">
        <w:rPr>
          <w:rFonts w:ascii="Times New Roman" w:hAnsi="Times New Roman" w:cs="Times New Roman"/>
          <w:color w:val="000000" w:themeColor="text1"/>
          <w:sz w:val="20"/>
          <w:szCs w:val="20"/>
        </w:rPr>
        <w:t>yrs</w:t>
      </w:r>
      <w:proofErr w:type="spellEnd"/>
      <w:r w:rsidRPr="00A329B9">
        <w:rPr>
          <w:rFonts w:ascii="Times New Roman" w:hAnsi="Times New Roman" w:cs="Times New Roman"/>
          <w:color w:val="000000" w:themeColor="text1"/>
          <w:sz w:val="20"/>
          <w:szCs w:val="20"/>
        </w:rPr>
        <w:t xml:space="preserve"> of experience in unrelated jobs was improperly rejected without interview, stating that the applicant “</w:t>
      </w:r>
      <w:r w:rsidRPr="00A329B9">
        <w:rPr>
          <w:rFonts w:ascii="Times New Roman" w:hAnsi="Times New Roman" w:cs="Times New Roman"/>
          <w:i/>
          <w:color w:val="000000" w:themeColor="text1"/>
          <w:sz w:val="20"/>
          <w:szCs w:val="20"/>
        </w:rPr>
        <w:t>should have been contacted in order to investigate Applicant’s qualifications and determine if he could ‘acquire the skills necessary to perform the job duties during a reasonable period of on the job training.</w:t>
      </w:r>
      <w:r w:rsidRPr="00A329B9">
        <w:rPr>
          <w:rFonts w:ascii="Times New Roman" w:hAnsi="Times New Roman" w:cs="Times New Roman"/>
          <w:color w:val="000000" w:themeColor="text1"/>
          <w:sz w:val="20"/>
          <w:szCs w:val="20"/>
        </w:rPr>
        <w:t>’”  BALCA reversed, finding that the applicant’s degree was in Financial Risk Management was not a related field to Marketing, and that his work experience did not overlap with the specific duties of the job being offered.  BALCA stated, “</w:t>
      </w:r>
      <w:r w:rsidRPr="00A329B9">
        <w:rPr>
          <w:rFonts w:ascii="Times New Roman" w:hAnsi="Times New Roman" w:cs="Times New Roman"/>
          <w:i/>
          <w:color w:val="000000" w:themeColor="text1"/>
          <w:sz w:val="20"/>
          <w:szCs w:val="20"/>
        </w:rPr>
        <w:t>An employer may incorporate the job duties as job requirements when it indicates on the ETA Form 9089 that it is requiring experience in the job offered . . . [t]he Employer outlined the position’s specific job requirements in both its application and advertisements,</w:t>
      </w:r>
      <w:r w:rsidRPr="00A329B9">
        <w:rPr>
          <w:rFonts w:ascii="Times New Roman" w:hAnsi="Times New Roman" w:cs="Times New Roman"/>
          <w:color w:val="000000" w:themeColor="text1"/>
          <w:sz w:val="20"/>
          <w:szCs w:val="20"/>
        </w:rPr>
        <w:t>” and “</w:t>
      </w:r>
      <w:r w:rsidRPr="00A329B9">
        <w:rPr>
          <w:rFonts w:ascii="Times New Roman" w:hAnsi="Times New Roman" w:cs="Times New Roman"/>
          <w:i/>
          <w:color w:val="000000" w:themeColor="text1"/>
          <w:sz w:val="20"/>
          <w:szCs w:val="20"/>
        </w:rPr>
        <w:t>the Applicant’s resume does not raise a reasonable possibility that he met the Employer’s experience requirements, and therefore the Employer was not required to make further inquiry into the Applicant’s qualifications.</w:t>
      </w:r>
      <w:r w:rsidRPr="00A329B9">
        <w:rPr>
          <w:rFonts w:ascii="Times New Roman" w:hAnsi="Times New Roman" w:cs="Times New Roman"/>
          <w:color w:val="000000" w:themeColor="text1"/>
          <w:sz w:val="20"/>
          <w:szCs w:val="20"/>
        </w:rPr>
        <w:t>”</w:t>
      </w:r>
      <w:r w:rsidR="00A329B9" w:rsidRPr="00A329B9">
        <w:rPr>
          <w:rFonts w:ascii="Times New Roman" w:hAnsi="Times New Roman" w:cs="Times New Roman"/>
          <w:color w:val="000000" w:themeColor="text1"/>
          <w:sz w:val="20"/>
          <w:szCs w:val="20"/>
        </w:rPr>
        <w:t>)</w:t>
      </w:r>
    </w:p>
  </w:footnote>
  <w:footnote w:id="25">
    <w:p w14:paraId="4F9EACF2" w14:textId="24A6C4F4" w:rsidR="00853B2E" w:rsidRPr="00853B2E" w:rsidRDefault="00853B2E">
      <w:pPr>
        <w:pStyle w:val="FootnoteText"/>
        <w:rPr>
          <w:rFonts w:ascii="Times New Roman" w:hAnsi="Times New Roman" w:cs="Times New Roman"/>
          <w:sz w:val="20"/>
          <w:szCs w:val="20"/>
        </w:rPr>
      </w:pPr>
      <w:r>
        <w:rPr>
          <w:rStyle w:val="FootnoteReference"/>
        </w:rPr>
        <w:footnoteRef/>
      </w:r>
      <w:r>
        <w:t xml:space="preserve"> </w:t>
      </w:r>
      <w:bookmarkStart w:id="11" w:name="_Hlk496524430"/>
      <w:r>
        <w:rPr>
          <w:rFonts w:ascii="Times New Roman" w:hAnsi="Times New Roman" w:cs="Times New Roman"/>
          <w:sz w:val="20"/>
          <w:szCs w:val="20"/>
        </w:rPr>
        <w:t xml:space="preserve">Matter of </w:t>
      </w:r>
      <w:proofErr w:type="spellStart"/>
      <w:r>
        <w:rPr>
          <w:rFonts w:ascii="Times New Roman" w:hAnsi="Times New Roman" w:cs="Times New Roman"/>
          <w:sz w:val="20"/>
          <w:szCs w:val="20"/>
        </w:rPr>
        <w:t>Systime</w:t>
      </w:r>
      <w:proofErr w:type="spellEnd"/>
      <w:r>
        <w:rPr>
          <w:rFonts w:ascii="Times New Roman" w:hAnsi="Times New Roman" w:cs="Times New Roman"/>
          <w:sz w:val="20"/>
          <w:szCs w:val="20"/>
        </w:rPr>
        <w:t xml:space="preserve"> Computer Corp., 2017 BALCA LEXIS 1263 (July 18, 2017).</w:t>
      </w:r>
      <w:bookmarkEnd w:id="11"/>
    </w:p>
  </w:footnote>
  <w:footnote w:id="26">
    <w:p w14:paraId="7A91A05D" w14:textId="21CDD3AD" w:rsidR="00853B2E" w:rsidRPr="00853B2E" w:rsidRDefault="00853B2E">
      <w:pPr>
        <w:pStyle w:val="FootnoteText"/>
        <w:rPr>
          <w:rFonts w:ascii="Times New Roman" w:hAnsi="Times New Roman" w:cs="Times New Roman"/>
          <w:sz w:val="20"/>
          <w:szCs w:val="20"/>
        </w:rPr>
      </w:pPr>
      <w:r>
        <w:rPr>
          <w:rStyle w:val="FootnoteReference"/>
        </w:rPr>
        <w:footnoteRef/>
      </w:r>
      <w:r>
        <w:t xml:space="preserve"> </w:t>
      </w:r>
      <w:bookmarkStart w:id="12" w:name="_Hlk496524441"/>
      <w:r>
        <w:rPr>
          <w:rFonts w:ascii="Times New Roman" w:hAnsi="Times New Roman" w:cs="Times New Roman"/>
          <w:sz w:val="20"/>
          <w:szCs w:val="20"/>
        </w:rPr>
        <w:t xml:space="preserve">Matter of </w:t>
      </w:r>
      <w:proofErr w:type="spellStart"/>
      <w:r>
        <w:rPr>
          <w:rFonts w:ascii="Times New Roman" w:hAnsi="Times New Roman" w:cs="Times New Roman"/>
          <w:sz w:val="20"/>
          <w:szCs w:val="20"/>
        </w:rPr>
        <w:t>Infoexperts</w:t>
      </w:r>
      <w:proofErr w:type="spellEnd"/>
      <w:r>
        <w:rPr>
          <w:rFonts w:ascii="Times New Roman" w:hAnsi="Times New Roman" w:cs="Times New Roman"/>
          <w:sz w:val="20"/>
          <w:szCs w:val="20"/>
        </w:rPr>
        <w:t xml:space="preserve">, 2017 </w:t>
      </w:r>
      <w:proofErr w:type="spellStart"/>
      <w:r>
        <w:rPr>
          <w:rFonts w:ascii="Times New Roman" w:hAnsi="Times New Roman" w:cs="Times New Roman"/>
          <w:sz w:val="20"/>
          <w:szCs w:val="20"/>
        </w:rPr>
        <w:t>BALCA</w:t>
      </w:r>
      <w:proofErr w:type="spellEnd"/>
      <w:r>
        <w:rPr>
          <w:rFonts w:ascii="Times New Roman" w:hAnsi="Times New Roman" w:cs="Times New Roman"/>
          <w:sz w:val="20"/>
          <w:szCs w:val="20"/>
        </w:rPr>
        <w:t xml:space="preserve"> LEXIS 1398 (Aug. 25, 2017).</w:t>
      </w:r>
    </w:p>
    <w:bookmarkEnd w:id="12"/>
  </w:footnote>
  <w:footnote w:id="27">
    <w:p w14:paraId="68D9CAAD" w14:textId="4D3FF6B2" w:rsidR="00853B2E" w:rsidRPr="00853B2E" w:rsidRDefault="00853B2E">
      <w:pPr>
        <w:pStyle w:val="FootnoteText"/>
        <w:rPr>
          <w:rFonts w:ascii="Times New Roman" w:hAnsi="Times New Roman" w:cs="Times New Roman"/>
          <w:sz w:val="20"/>
          <w:szCs w:val="20"/>
        </w:rPr>
      </w:pPr>
      <w:r>
        <w:rPr>
          <w:rStyle w:val="FootnoteReference"/>
        </w:rPr>
        <w:footnoteRef/>
      </w:r>
      <w:r>
        <w:t xml:space="preserve"> </w:t>
      </w:r>
      <w:bookmarkStart w:id="13" w:name="_Hlk496524454"/>
      <w:r>
        <w:rPr>
          <w:rFonts w:ascii="Times New Roman" w:hAnsi="Times New Roman" w:cs="Times New Roman"/>
          <w:sz w:val="20"/>
          <w:szCs w:val="20"/>
        </w:rPr>
        <w:t>Matter of Hyun-Soo Lee, MD. P.A., 2017 BALCA LEXIS 1274 (July 18, 2017).</w:t>
      </w:r>
    </w:p>
    <w:bookmarkEnd w:id="13"/>
  </w:footnote>
  <w:footnote w:id="28">
    <w:p w14:paraId="52AD9631" w14:textId="5900F9E8" w:rsidR="00853B2E" w:rsidRPr="00853B2E" w:rsidRDefault="00853B2E">
      <w:pPr>
        <w:pStyle w:val="FootnoteText"/>
        <w:rPr>
          <w:rFonts w:ascii="Times New Roman" w:hAnsi="Times New Roman" w:cs="Times New Roman"/>
          <w:sz w:val="20"/>
          <w:szCs w:val="20"/>
        </w:rPr>
      </w:pPr>
      <w:r>
        <w:rPr>
          <w:rStyle w:val="FootnoteReference"/>
        </w:rPr>
        <w:footnoteRef/>
      </w:r>
      <w:r>
        <w:t xml:space="preserve"> </w:t>
      </w:r>
      <w:bookmarkStart w:id="14" w:name="_Hlk496524466"/>
      <w:r>
        <w:rPr>
          <w:rFonts w:ascii="Times New Roman" w:hAnsi="Times New Roman" w:cs="Times New Roman"/>
          <w:sz w:val="20"/>
          <w:szCs w:val="20"/>
        </w:rPr>
        <w:t xml:space="preserve">Matter of Mama </w:t>
      </w:r>
      <w:proofErr w:type="spellStart"/>
      <w:r>
        <w:rPr>
          <w:rFonts w:ascii="Times New Roman" w:hAnsi="Times New Roman" w:cs="Times New Roman"/>
          <w:sz w:val="20"/>
          <w:szCs w:val="20"/>
        </w:rPr>
        <w:t>Mias</w:t>
      </w:r>
      <w:proofErr w:type="spellEnd"/>
      <w:r>
        <w:rPr>
          <w:rFonts w:ascii="Times New Roman" w:hAnsi="Times New Roman" w:cs="Times New Roman"/>
          <w:sz w:val="20"/>
          <w:szCs w:val="20"/>
        </w:rPr>
        <w:t xml:space="preserve"> LLC, 2017 </w:t>
      </w:r>
      <w:proofErr w:type="spellStart"/>
      <w:r>
        <w:rPr>
          <w:rFonts w:ascii="Times New Roman" w:hAnsi="Times New Roman" w:cs="Times New Roman"/>
          <w:sz w:val="20"/>
          <w:szCs w:val="20"/>
        </w:rPr>
        <w:t>BALCA</w:t>
      </w:r>
      <w:proofErr w:type="spellEnd"/>
      <w:r>
        <w:rPr>
          <w:rFonts w:ascii="Times New Roman" w:hAnsi="Times New Roman" w:cs="Times New Roman"/>
          <w:sz w:val="20"/>
          <w:szCs w:val="20"/>
        </w:rPr>
        <w:t xml:space="preserve"> LEXIS 1401 (Aug. 25, 2017).</w:t>
      </w:r>
    </w:p>
    <w:bookmarkEnd w:id="14"/>
  </w:footnote>
  <w:footnote w:id="29">
    <w:p w14:paraId="4090F461" w14:textId="2624200D" w:rsidR="00853B2E" w:rsidRPr="00853B2E" w:rsidRDefault="00853B2E">
      <w:pPr>
        <w:pStyle w:val="FootnoteText"/>
        <w:rPr>
          <w:rFonts w:ascii="Times New Roman" w:hAnsi="Times New Roman" w:cs="Times New Roman"/>
          <w:sz w:val="20"/>
          <w:szCs w:val="20"/>
        </w:rPr>
      </w:pPr>
      <w:r>
        <w:rPr>
          <w:rStyle w:val="FootnoteReference"/>
        </w:rPr>
        <w:footnoteRef/>
      </w:r>
      <w:r>
        <w:t xml:space="preserve"> </w:t>
      </w:r>
      <w:bookmarkStart w:id="15" w:name="_Hlk496524475"/>
      <w:r>
        <w:rPr>
          <w:rFonts w:ascii="Times New Roman" w:hAnsi="Times New Roman" w:cs="Times New Roman"/>
          <w:sz w:val="20"/>
          <w:szCs w:val="20"/>
        </w:rPr>
        <w:t xml:space="preserve">Matter of </w:t>
      </w:r>
      <w:proofErr w:type="spellStart"/>
      <w:r>
        <w:rPr>
          <w:rFonts w:ascii="Times New Roman" w:hAnsi="Times New Roman" w:cs="Times New Roman"/>
          <w:sz w:val="20"/>
          <w:szCs w:val="20"/>
        </w:rPr>
        <w:t>Opensoft</w:t>
      </w:r>
      <w:proofErr w:type="spellEnd"/>
      <w:r>
        <w:rPr>
          <w:rFonts w:ascii="Times New Roman" w:hAnsi="Times New Roman" w:cs="Times New Roman"/>
          <w:sz w:val="20"/>
          <w:szCs w:val="20"/>
        </w:rPr>
        <w:t xml:space="preserve">, Inc., </w:t>
      </w:r>
      <w:r w:rsidR="00DF3532">
        <w:rPr>
          <w:rFonts w:ascii="Times New Roman" w:hAnsi="Times New Roman" w:cs="Times New Roman"/>
          <w:sz w:val="20"/>
          <w:szCs w:val="20"/>
        </w:rPr>
        <w:t>2017 BALCA LEXIS 1408 (Aug. 22, 2017).</w:t>
      </w:r>
      <w:bookmarkEnd w:id="15"/>
    </w:p>
  </w:footnote>
  <w:footnote w:id="30">
    <w:p w14:paraId="24791CDF" w14:textId="143D4DBC" w:rsidR="0049731C" w:rsidRPr="0049731C" w:rsidRDefault="0049731C" w:rsidP="0049731C">
      <w:pPr>
        <w:pStyle w:val="FootnoteText"/>
        <w:rPr>
          <w:rFonts w:ascii="Times New Roman" w:hAnsi="Times New Roman" w:cs="Times New Roman"/>
          <w:sz w:val="20"/>
          <w:szCs w:val="20"/>
        </w:rPr>
      </w:pPr>
      <w:r w:rsidRPr="0049731C">
        <w:rPr>
          <w:rStyle w:val="FootnoteReference"/>
          <w:rFonts w:ascii="Times New Roman" w:hAnsi="Times New Roman" w:cs="Times New Roman"/>
          <w:sz w:val="20"/>
          <w:szCs w:val="20"/>
        </w:rPr>
        <w:footnoteRef/>
      </w:r>
      <w:r w:rsidRPr="0049731C">
        <w:rPr>
          <w:rFonts w:ascii="Times New Roman" w:hAnsi="Times New Roman" w:cs="Times New Roman"/>
          <w:sz w:val="20"/>
          <w:szCs w:val="20"/>
        </w:rPr>
        <w:t xml:space="preserve"> The ads covered multiple job opportunities, QA Analysts and Java Developers - both of which had multiple levels</w:t>
      </w:r>
      <w:r w:rsidR="007D72F5">
        <w:rPr>
          <w:rFonts w:ascii="Times New Roman" w:hAnsi="Times New Roman" w:cs="Times New Roman"/>
          <w:sz w:val="20"/>
          <w:szCs w:val="20"/>
        </w:rPr>
        <w:t xml:space="preserve"> - </w:t>
      </w:r>
      <w:r w:rsidRPr="0049731C">
        <w:rPr>
          <w:rFonts w:ascii="Times New Roman" w:hAnsi="Times New Roman" w:cs="Times New Roman"/>
          <w:sz w:val="20"/>
          <w:szCs w:val="20"/>
        </w:rPr>
        <w:t>entry level to senior level.</w:t>
      </w:r>
    </w:p>
  </w:footnote>
  <w:footnote w:id="31">
    <w:p w14:paraId="31642B7A" w14:textId="23C85C0B" w:rsidR="00FC5140" w:rsidRPr="00FC5140" w:rsidRDefault="00FC5140">
      <w:pPr>
        <w:pStyle w:val="FootnoteText"/>
        <w:rPr>
          <w:rFonts w:ascii="Times New Roman" w:hAnsi="Times New Roman" w:cs="Times New Roman"/>
          <w:sz w:val="20"/>
          <w:szCs w:val="20"/>
        </w:rPr>
      </w:pPr>
      <w:r>
        <w:rPr>
          <w:rStyle w:val="FootnoteReference"/>
        </w:rPr>
        <w:footnoteRef/>
      </w:r>
      <w:r>
        <w:t xml:space="preserve"> </w:t>
      </w:r>
      <w:bookmarkStart w:id="16" w:name="_Hlk496524485"/>
      <w:r>
        <w:rPr>
          <w:rFonts w:ascii="Times New Roman" w:hAnsi="Times New Roman" w:cs="Times New Roman"/>
          <w:sz w:val="20"/>
          <w:szCs w:val="20"/>
        </w:rPr>
        <w:t>Matter of Microsoft Corp., 2012 BALCA LEXIS 371 (Feb. 29, 2012).</w:t>
      </w:r>
    </w:p>
    <w:bookmarkEnd w:id="16"/>
  </w:footnote>
  <w:footnote w:id="32">
    <w:p w14:paraId="049BEE2F" w14:textId="58FCD9B5" w:rsidR="00DF3532" w:rsidRPr="00DF3532" w:rsidRDefault="00DF3532">
      <w:pPr>
        <w:pStyle w:val="FootnoteText"/>
        <w:rPr>
          <w:rFonts w:ascii="Times New Roman" w:hAnsi="Times New Roman" w:cs="Times New Roman"/>
          <w:sz w:val="20"/>
          <w:szCs w:val="20"/>
        </w:rPr>
      </w:pPr>
      <w:r>
        <w:rPr>
          <w:rStyle w:val="FootnoteReference"/>
        </w:rPr>
        <w:footnoteRef/>
      </w:r>
      <w:r>
        <w:t xml:space="preserve"> </w:t>
      </w:r>
      <w:bookmarkStart w:id="17" w:name="_Hlk496524503"/>
      <w:r w:rsidR="0012085E">
        <w:rPr>
          <w:rFonts w:ascii="Times New Roman" w:hAnsi="Times New Roman" w:cs="Times New Roman"/>
          <w:sz w:val="20"/>
          <w:szCs w:val="20"/>
        </w:rPr>
        <w:t>Matter of Prof</w:t>
      </w:r>
      <w:r>
        <w:rPr>
          <w:rFonts w:ascii="Times New Roman" w:hAnsi="Times New Roman" w:cs="Times New Roman"/>
          <w:sz w:val="20"/>
          <w:szCs w:val="20"/>
        </w:rPr>
        <w:t>icient Business Systems, Inc., 2017 BALCA LEXIS 1320 (July 28, 2017).</w:t>
      </w:r>
      <w:bookmarkEnd w:id="17"/>
    </w:p>
  </w:footnote>
  <w:footnote w:id="33">
    <w:p w14:paraId="75817580" w14:textId="68EF5EF6" w:rsidR="00DF3532" w:rsidRPr="00DF3532" w:rsidRDefault="00DF3532">
      <w:pPr>
        <w:pStyle w:val="FootnoteText"/>
        <w:rPr>
          <w:rFonts w:ascii="Times New Roman" w:hAnsi="Times New Roman" w:cs="Times New Roman"/>
          <w:sz w:val="20"/>
          <w:szCs w:val="20"/>
        </w:rPr>
      </w:pPr>
      <w:r>
        <w:rPr>
          <w:rStyle w:val="FootnoteReference"/>
        </w:rPr>
        <w:footnoteRef/>
      </w:r>
      <w:r>
        <w:t xml:space="preserve"> </w:t>
      </w:r>
      <w:bookmarkStart w:id="18" w:name="_Hlk496524517"/>
      <w:r>
        <w:rPr>
          <w:rFonts w:ascii="Times New Roman" w:hAnsi="Times New Roman" w:cs="Times New Roman"/>
          <w:sz w:val="20"/>
          <w:szCs w:val="20"/>
        </w:rPr>
        <w:t>Matter of Infosys LTD, 2016 BALCA LEXIS 270 (May 12, 2016).</w:t>
      </w:r>
      <w:bookmarkEnd w:id="18"/>
    </w:p>
  </w:footnote>
  <w:footnote w:id="34">
    <w:p w14:paraId="112B80BF" w14:textId="77777777" w:rsidR="0049731C" w:rsidRPr="0049731C" w:rsidRDefault="0049731C" w:rsidP="0049731C">
      <w:pPr>
        <w:pStyle w:val="FootnoteText"/>
        <w:rPr>
          <w:rFonts w:ascii="Times New Roman" w:hAnsi="Times New Roman" w:cs="Times New Roman"/>
          <w:sz w:val="20"/>
          <w:szCs w:val="20"/>
        </w:rPr>
      </w:pPr>
      <w:r w:rsidRPr="0049731C">
        <w:rPr>
          <w:rStyle w:val="FootnoteReference"/>
          <w:rFonts w:ascii="Times New Roman" w:hAnsi="Times New Roman" w:cs="Times New Roman"/>
          <w:sz w:val="20"/>
          <w:szCs w:val="20"/>
        </w:rPr>
        <w:footnoteRef/>
      </w:r>
      <w:r w:rsidRPr="0049731C">
        <w:rPr>
          <w:rFonts w:ascii="Times New Roman" w:hAnsi="Times New Roman" w:cs="Times New Roman"/>
          <w:sz w:val="20"/>
          <w:szCs w:val="20"/>
        </w:rPr>
        <w:t xml:space="preserve"> Employers often draft job advertisements for multiple job opportunities at multiple levels and abbreviate the contents to save on advertising costs. This can sometimes result in a muddled ad leaving the reader uncertain as to what the job opportunity requirements truly are.</w:t>
      </w:r>
    </w:p>
  </w:footnote>
  <w:footnote w:id="35">
    <w:p w14:paraId="4CF6D2B6" w14:textId="77777777" w:rsidR="0049731C" w:rsidRDefault="0049731C" w:rsidP="0049731C">
      <w:pPr>
        <w:pStyle w:val="FootnoteText"/>
      </w:pPr>
      <w:r w:rsidRPr="0049731C">
        <w:rPr>
          <w:rStyle w:val="FootnoteReference"/>
          <w:rFonts w:ascii="Times New Roman" w:hAnsi="Times New Roman" w:cs="Times New Roman"/>
          <w:sz w:val="20"/>
          <w:szCs w:val="20"/>
        </w:rPr>
        <w:footnoteRef/>
      </w:r>
      <w:r w:rsidRPr="0049731C">
        <w:rPr>
          <w:rFonts w:ascii="Times New Roman" w:hAnsi="Times New Roman" w:cs="Times New Roman"/>
          <w:sz w:val="20"/>
          <w:szCs w:val="20"/>
        </w:rPr>
        <w:t xml:space="preserve"> This notion should be followed when advertising all off-site work requirements and/or benefits such as having to perform work at a client site, travel and telecommuting.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3DB"/>
    <w:multiLevelType w:val="hybridMultilevel"/>
    <w:tmpl w:val="D440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D57"/>
    <w:multiLevelType w:val="hybridMultilevel"/>
    <w:tmpl w:val="42CC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54E"/>
    <w:multiLevelType w:val="hybridMultilevel"/>
    <w:tmpl w:val="657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32E2"/>
    <w:multiLevelType w:val="hybridMultilevel"/>
    <w:tmpl w:val="A942CAF8"/>
    <w:lvl w:ilvl="0" w:tplc="B2C49F96">
      <w:numFmt w:val="bullet"/>
      <w:lvlText w:val="-"/>
      <w:lvlJc w:val="left"/>
      <w:pPr>
        <w:ind w:left="720" w:hanging="360"/>
      </w:pPr>
      <w:rPr>
        <w:rFonts w:ascii="Lucida Grande" w:eastAsiaTheme="minorEastAsia" w:hAnsi="Lucida Grande" w:cs="Lucida Grande"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420D"/>
    <w:multiLevelType w:val="hybridMultilevel"/>
    <w:tmpl w:val="8392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14CF"/>
    <w:multiLevelType w:val="hybridMultilevel"/>
    <w:tmpl w:val="002C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76219"/>
    <w:multiLevelType w:val="hybridMultilevel"/>
    <w:tmpl w:val="2534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C39"/>
    <w:multiLevelType w:val="hybridMultilevel"/>
    <w:tmpl w:val="CE2CF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36B3"/>
    <w:multiLevelType w:val="hybridMultilevel"/>
    <w:tmpl w:val="45AA1124"/>
    <w:lvl w:ilvl="0" w:tplc="F6D01EB4">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36A00"/>
    <w:multiLevelType w:val="hybridMultilevel"/>
    <w:tmpl w:val="175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B0B51"/>
    <w:multiLevelType w:val="hybridMultilevel"/>
    <w:tmpl w:val="93E4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2454"/>
    <w:multiLevelType w:val="hybridMultilevel"/>
    <w:tmpl w:val="BE2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12DC9"/>
    <w:multiLevelType w:val="hybridMultilevel"/>
    <w:tmpl w:val="A3546D70"/>
    <w:lvl w:ilvl="0" w:tplc="52AC2870">
      <w:numFmt w:val="bullet"/>
      <w:lvlText w:val="-"/>
      <w:lvlJc w:val="left"/>
      <w:pPr>
        <w:ind w:left="720" w:hanging="360"/>
      </w:pPr>
      <w:rPr>
        <w:rFonts w:ascii="Lucida Grande" w:eastAsiaTheme="minorEastAsia"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744DC"/>
    <w:multiLevelType w:val="hybridMultilevel"/>
    <w:tmpl w:val="CAF6D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D7115"/>
    <w:multiLevelType w:val="hybridMultilevel"/>
    <w:tmpl w:val="F78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826F2"/>
    <w:multiLevelType w:val="hybridMultilevel"/>
    <w:tmpl w:val="9C0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28F6"/>
    <w:multiLevelType w:val="hybridMultilevel"/>
    <w:tmpl w:val="44B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E1B6E"/>
    <w:multiLevelType w:val="hybridMultilevel"/>
    <w:tmpl w:val="0C5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15B76"/>
    <w:multiLevelType w:val="hybridMultilevel"/>
    <w:tmpl w:val="156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624E"/>
    <w:multiLevelType w:val="hybridMultilevel"/>
    <w:tmpl w:val="35F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A1222"/>
    <w:multiLevelType w:val="hybridMultilevel"/>
    <w:tmpl w:val="B5DA0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B0B84"/>
    <w:multiLevelType w:val="hybridMultilevel"/>
    <w:tmpl w:val="0726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DE0253"/>
    <w:multiLevelType w:val="hybridMultilevel"/>
    <w:tmpl w:val="D86A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F3FAB"/>
    <w:multiLevelType w:val="hybridMultilevel"/>
    <w:tmpl w:val="BFB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1D22"/>
    <w:multiLevelType w:val="hybridMultilevel"/>
    <w:tmpl w:val="A5FAD6F0"/>
    <w:lvl w:ilvl="0" w:tplc="F6D01EB4">
      <w:numFmt w:val="bullet"/>
      <w:lvlText w:val="-"/>
      <w:lvlJc w:val="left"/>
      <w:pPr>
        <w:ind w:left="720" w:hanging="360"/>
      </w:pPr>
      <w:rPr>
        <w:rFonts w:ascii="Lucida Grande" w:eastAsiaTheme="minorEastAsia" w:hAnsi="Lucida Grande" w:cs="Lucida Grand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977B8"/>
    <w:multiLevelType w:val="hybridMultilevel"/>
    <w:tmpl w:val="AD8E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D60DA"/>
    <w:multiLevelType w:val="hybridMultilevel"/>
    <w:tmpl w:val="198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24"/>
  </w:num>
  <w:num w:numId="5">
    <w:abstractNumId w:val="4"/>
  </w:num>
  <w:num w:numId="6">
    <w:abstractNumId w:val="11"/>
  </w:num>
  <w:num w:numId="7">
    <w:abstractNumId w:val="5"/>
  </w:num>
  <w:num w:numId="8">
    <w:abstractNumId w:val="21"/>
  </w:num>
  <w:num w:numId="9">
    <w:abstractNumId w:val="19"/>
  </w:num>
  <w:num w:numId="10">
    <w:abstractNumId w:val="16"/>
  </w:num>
  <w:num w:numId="11">
    <w:abstractNumId w:val="14"/>
  </w:num>
  <w:num w:numId="12">
    <w:abstractNumId w:val="18"/>
  </w:num>
  <w:num w:numId="13">
    <w:abstractNumId w:val="22"/>
  </w:num>
  <w:num w:numId="14">
    <w:abstractNumId w:val="15"/>
  </w:num>
  <w:num w:numId="15">
    <w:abstractNumId w:val="6"/>
  </w:num>
  <w:num w:numId="16">
    <w:abstractNumId w:val="23"/>
  </w:num>
  <w:num w:numId="17">
    <w:abstractNumId w:val="1"/>
  </w:num>
  <w:num w:numId="18">
    <w:abstractNumId w:val="10"/>
  </w:num>
  <w:num w:numId="19">
    <w:abstractNumId w:val="2"/>
  </w:num>
  <w:num w:numId="20">
    <w:abstractNumId w:val="9"/>
  </w:num>
  <w:num w:numId="21">
    <w:abstractNumId w:val="26"/>
  </w:num>
  <w:num w:numId="22">
    <w:abstractNumId w:val="0"/>
  </w:num>
  <w:num w:numId="23">
    <w:abstractNumId w:val="25"/>
  </w:num>
  <w:num w:numId="24">
    <w:abstractNumId w:val="13"/>
  </w:num>
  <w:num w:numId="25">
    <w:abstractNumId w:val="7"/>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RUS_DOC_GUID" w:val="5a2d4158-dbc9-4d53-a1c7-76d91f8e7204"/>
  </w:docVars>
  <w:rsids>
    <w:rsidRoot w:val="00F10820"/>
    <w:rsid w:val="00002AAA"/>
    <w:rsid w:val="00003720"/>
    <w:rsid w:val="00006691"/>
    <w:rsid w:val="000071E4"/>
    <w:rsid w:val="000079BF"/>
    <w:rsid w:val="0001144E"/>
    <w:rsid w:val="0001173C"/>
    <w:rsid w:val="00011A2F"/>
    <w:rsid w:val="00011FDA"/>
    <w:rsid w:val="000131D1"/>
    <w:rsid w:val="00014143"/>
    <w:rsid w:val="00016399"/>
    <w:rsid w:val="000174FE"/>
    <w:rsid w:val="000206A3"/>
    <w:rsid w:val="0002250B"/>
    <w:rsid w:val="000233B2"/>
    <w:rsid w:val="00023FEE"/>
    <w:rsid w:val="000257AF"/>
    <w:rsid w:val="00026846"/>
    <w:rsid w:val="0002705C"/>
    <w:rsid w:val="000305C5"/>
    <w:rsid w:val="00031EA5"/>
    <w:rsid w:val="00033073"/>
    <w:rsid w:val="0003339C"/>
    <w:rsid w:val="000350A0"/>
    <w:rsid w:val="000353C6"/>
    <w:rsid w:val="00035C3B"/>
    <w:rsid w:val="0004048A"/>
    <w:rsid w:val="000410EE"/>
    <w:rsid w:val="00041869"/>
    <w:rsid w:val="00043318"/>
    <w:rsid w:val="00044B34"/>
    <w:rsid w:val="00045995"/>
    <w:rsid w:val="00050035"/>
    <w:rsid w:val="0005041A"/>
    <w:rsid w:val="0005152D"/>
    <w:rsid w:val="00052802"/>
    <w:rsid w:val="000549C1"/>
    <w:rsid w:val="000549CF"/>
    <w:rsid w:val="0005510C"/>
    <w:rsid w:val="00057D8B"/>
    <w:rsid w:val="00061802"/>
    <w:rsid w:val="00061EB2"/>
    <w:rsid w:val="000638AB"/>
    <w:rsid w:val="000642C4"/>
    <w:rsid w:val="00064B0E"/>
    <w:rsid w:val="000656CA"/>
    <w:rsid w:val="00066D68"/>
    <w:rsid w:val="00070D72"/>
    <w:rsid w:val="000710B2"/>
    <w:rsid w:val="000713C6"/>
    <w:rsid w:val="000747EF"/>
    <w:rsid w:val="000749B7"/>
    <w:rsid w:val="00082B03"/>
    <w:rsid w:val="00085742"/>
    <w:rsid w:val="00085CC5"/>
    <w:rsid w:val="00086A5F"/>
    <w:rsid w:val="00087D95"/>
    <w:rsid w:val="000931EB"/>
    <w:rsid w:val="0009470D"/>
    <w:rsid w:val="0009753D"/>
    <w:rsid w:val="000A0876"/>
    <w:rsid w:val="000A1525"/>
    <w:rsid w:val="000A373F"/>
    <w:rsid w:val="000A3BB9"/>
    <w:rsid w:val="000A5331"/>
    <w:rsid w:val="000A6801"/>
    <w:rsid w:val="000A7457"/>
    <w:rsid w:val="000B3D8D"/>
    <w:rsid w:val="000B402B"/>
    <w:rsid w:val="000C207D"/>
    <w:rsid w:val="000C76B5"/>
    <w:rsid w:val="000C7895"/>
    <w:rsid w:val="000C793E"/>
    <w:rsid w:val="000C7C52"/>
    <w:rsid w:val="000C7CF3"/>
    <w:rsid w:val="000D0C20"/>
    <w:rsid w:val="000D1B72"/>
    <w:rsid w:val="000D3DCC"/>
    <w:rsid w:val="000D473F"/>
    <w:rsid w:val="000D4DC0"/>
    <w:rsid w:val="000D7718"/>
    <w:rsid w:val="000E0E95"/>
    <w:rsid w:val="000E13C3"/>
    <w:rsid w:val="000E1BDB"/>
    <w:rsid w:val="000E26ED"/>
    <w:rsid w:val="000E3830"/>
    <w:rsid w:val="000E4049"/>
    <w:rsid w:val="000E4D19"/>
    <w:rsid w:val="000E4DBD"/>
    <w:rsid w:val="000E5309"/>
    <w:rsid w:val="000E64F7"/>
    <w:rsid w:val="000E66BA"/>
    <w:rsid w:val="000E737F"/>
    <w:rsid w:val="000E7497"/>
    <w:rsid w:val="000E791E"/>
    <w:rsid w:val="000F1B82"/>
    <w:rsid w:val="000F387E"/>
    <w:rsid w:val="000F3BBB"/>
    <w:rsid w:val="000F3C01"/>
    <w:rsid w:val="000F4686"/>
    <w:rsid w:val="000F5710"/>
    <w:rsid w:val="000F609B"/>
    <w:rsid w:val="000F62D9"/>
    <w:rsid w:val="000F6A3B"/>
    <w:rsid w:val="001005FE"/>
    <w:rsid w:val="001018A1"/>
    <w:rsid w:val="00104372"/>
    <w:rsid w:val="00110AF1"/>
    <w:rsid w:val="00111195"/>
    <w:rsid w:val="00111635"/>
    <w:rsid w:val="00112008"/>
    <w:rsid w:val="001125A7"/>
    <w:rsid w:val="00115ABB"/>
    <w:rsid w:val="00120814"/>
    <w:rsid w:val="0012085E"/>
    <w:rsid w:val="00121D5A"/>
    <w:rsid w:val="00122620"/>
    <w:rsid w:val="00124530"/>
    <w:rsid w:val="00124B7A"/>
    <w:rsid w:val="00124CF7"/>
    <w:rsid w:val="00124D2E"/>
    <w:rsid w:val="00124F9E"/>
    <w:rsid w:val="00127050"/>
    <w:rsid w:val="001307DF"/>
    <w:rsid w:val="001308A3"/>
    <w:rsid w:val="00130EA2"/>
    <w:rsid w:val="001357C1"/>
    <w:rsid w:val="001365E2"/>
    <w:rsid w:val="00140686"/>
    <w:rsid w:val="00142B14"/>
    <w:rsid w:val="001441B7"/>
    <w:rsid w:val="00144A85"/>
    <w:rsid w:val="0014603B"/>
    <w:rsid w:val="001463ED"/>
    <w:rsid w:val="001464D6"/>
    <w:rsid w:val="00147E0C"/>
    <w:rsid w:val="00151142"/>
    <w:rsid w:val="0015162C"/>
    <w:rsid w:val="00152C52"/>
    <w:rsid w:val="001531E7"/>
    <w:rsid w:val="00154518"/>
    <w:rsid w:val="00156A64"/>
    <w:rsid w:val="00157B8F"/>
    <w:rsid w:val="00164750"/>
    <w:rsid w:val="00167D16"/>
    <w:rsid w:val="00167FCA"/>
    <w:rsid w:val="001706B7"/>
    <w:rsid w:val="00170F33"/>
    <w:rsid w:val="00171D18"/>
    <w:rsid w:val="00176A17"/>
    <w:rsid w:val="00176B76"/>
    <w:rsid w:val="001772F9"/>
    <w:rsid w:val="00180788"/>
    <w:rsid w:val="0018138A"/>
    <w:rsid w:val="00181A8B"/>
    <w:rsid w:val="00181DF0"/>
    <w:rsid w:val="00182063"/>
    <w:rsid w:val="001827B0"/>
    <w:rsid w:val="001829BA"/>
    <w:rsid w:val="00183D56"/>
    <w:rsid w:val="00184421"/>
    <w:rsid w:val="00187762"/>
    <w:rsid w:val="00187E4F"/>
    <w:rsid w:val="00190A7F"/>
    <w:rsid w:val="00192674"/>
    <w:rsid w:val="001929BB"/>
    <w:rsid w:val="00192A7D"/>
    <w:rsid w:val="00193630"/>
    <w:rsid w:val="00195095"/>
    <w:rsid w:val="00196FFF"/>
    <w:rsid w:val="00197760"/>
    <w:rsid w:val="001A00F4"/>
    <w:rsid w:val="001A057B"/>
    <w:rsid w:val="001A111E"/>
    <w:rsid w:val="001A1304"/>
    <w:rsid w:val="001A2346"/>
    <w:rsid w:val="001A3114"/>
    <w:rsid w:val="001A3975"/>
    <w:rsid w:val="001A5409"/>
    <w:rsid w:val="001A579C"/>
    <w:rsid w:val="001A6A11"/>
    <w:rsid w:val="001A7111"/>
    <w:rsid w:val="001A73E9"/>
    <w:rsid w:val="001B1A86"/>
    <w:rsid w:val="001B21E8"/>
    <w:rsid w:val="001B4267"/>
    <w:rsid w:val="001B4291"/>
    <w:rsid w:val="001B55C7"/>
    <w:rsid w:val="001B5C62"/>
    <w:rsid w:val="001B75AB"/>
    <w:rsid w:val="001B7CC3"/>
    <w:rsid w:val="001C0022"/>
    <w:rsid w:val="001C1CDE"/>
    <w:rsid w:val="001C4BC5"/>
    <w:rsid w:val="001C7FEA"/>
    <w:rsid w:val="001D0026"/>
    <w:rsid w:val="001D16AE"/>
    <w:rsid w:val="001D1ED0"/>
    <w:rsid w:val="001D25CE"/>
    <w:rsid w:val="001D2B8B"/>
    <w:rsid w:val="001D36A8"/>
    <w:rsid w:val="001E0502"/>
    <w:rsid w:val="001E0C1E"/>
    <w:rsid w:val="001E1886"/>
    <w:rsid w:val="001E22FD"/>
    <w:rsid w:val="001E2C2C"/>
    <w:rsid w:val="001E5A64"/>
    <w:rsid w:val="001E6182"/>
    <w:rsid w:val="001F0908"/>
    <w:rsid w:val="001F1370"/>
    <w:rsid w:val="001F2136"/>
    <w:rsid w:val="001F3BF1"/>
    <w:rsid w:val="001F4C1F"/>
    <w:rsid w:val="001F79F6"/>
    <w:rsid w:val="002014F9"/>
    <w:rsid w:val="00203612"/>
    <w:rsid w:val="002040AF"/>
    <w:rsid w:val="00205A75"/>
    <w:rsid w:val="00206FB1"/>
    <w:rsid w:val="00206FB9"/>
    <w:rsid w:val="00210294"/>
    <w:rsid w:val="002102E9"/>
    <w:rsid w:val="00212188"/>
    <w:rsid w:val="00221B3A"/>
    <w:rsid w:val="0022232D"/>
    <w:rsid w:val="002249CC"/>
    <w:rsid w:val="00225029"/>
    <w:rsid w:val="00225EBF"/>
    <w:rsid w:val="002260B0"/>
    <w:rsid w:val="002302F6"/>
    <w:rsid w:val="00233491"/>
    <w:rsid w:val="00236AC1"/>
    <w:rsid w:val="00236AFC"/>
    <w:rsid w:val="00240CFD"/>
    <w:rsid w:val="00240D01"/>
    <w:rsid w:val="002419B9"/>
    <w:rsid w:val="0024230E"/>
    <w:rsid w:val="002440A6"/>
    <w:rsid w:val="00244BFF"/>
    <w:rsid w:val="00244FC1"/>
    <w:rsid w:val="002464C2"/>
    <w:rsid w:val="00246AE2"/>
    <w:rsid w:val="00247E0F"/>
    <w:rsid w:val="00251302"/>
    <w:rsid w:val="0025295A"/>
    <w:rsid w:val="00253373"/>
    <w:rsid w:val="00254B83"/>
    <w:rsid w:val="0025508F"/>
    <w:rsid w:val="00255C9D"/>
    <w:rsid w:val="00256145"/>
    <w:rsid w:val="002574B7"/>
    <w:rsid w:val="00257C3F"/>
    <w:rsid w:val="00261743"/>
    <w:rsid w:val="00261A98"/>
    <w:rsid w:val="00262EBF"/>
    <w:rsid w:val="00263E30"/>
    <w:rsid w:val="00264AEE"/>
    <w:rsid w:val="00264C2A"/>
    <w:rsid w:val="0026633A"/>
    <w:rsid w:val="002671E5"/>
    <w:rsid w:val="00267C63"/>
    <w:rsid w:val="002705AE"/>
    <w:rsid w:val="002713CF"/>
    <w:rsid w:val="00272228"/>
    <w:rsid w:val="00273300"/>
    <w:rsid w:val="002736FA"/>
    <w:rsid w:val="00274726"/>
    <w:rsid w:val="00274883"/>
    <w:rsid w:val="00275C8B"/>
    <w:rsid w:val="00275E00"/>
    <w:rsid w:val="00277AE6"/>
    <w:rsid w:val="00280496"/>
    <w:rsid w:val="00281E47"/>
    <w:rsid w:val="00282B63"/>
    <w:rsid w:val="00285E33"/>
    <w:rsid w:val="00285EEB"/>
    <w:rsid w:val="002871B1"/>
    <w:rsid w:val="00292129"/>
    <w:rsid w:val="00292E21"/>
    <w:rsid w:val="00294CDF"/>
    <w:rsid w:val="00296140"/>
    <w:rsid w:val="002A0824"/>
    <w:rsid w:val="002A36F5"/>
    <w:rsid w:val="002A3B5C"/>
    <w:rsid w:val="002A4B7C"/>
    <w:rsid w:val="002A6195"/>
    <w:rsid w:val="002A723E"/>
    <w:rsid w:val="002B0583"/>
    <w:rsid w:val="002B184C"/>
    <w:rsid w:val="002B2309"/>
    <w:rsid w:val="002B3BC0"/>
    <w:rsid w:val="002B4CE9"/>
    <w:rsid w:val="002B5AA9"/>
    <w:rsid w:val="002B7011"/>
    <w:rsid w:val="002B7076"/>
    <w:rsid w:val="002C036D"/>
    <w:rsid w:val="002C07DE"/>
    <w:rsid w:val="002C1AD7"/>
    <w:rsid w:val="002C1BDD"/>
    <w:rsid w:val="002C22CE"/>
    <w:rsid w:val="002C2A26"/>
    <w:rsid w:val="002C2B6F"/>
    <w:rsid w:val="002C40A5"/>
    <w:rsid w:val="002D002D"/>
    <w:rsid w:val="002D053A"/>
    <w:rsid w:val="002D0C53"/>
    <w:rsid w:val="002D25C4"/>
    <w:rsid w:val="002D39DD"/>
    <w:rsid w:val="002D4F23"/>
    <w:rsid w:val="002D51D3"/>
    <w:rsid w:val="002D64E0"/>
    <w:rsid w:val="002D6949"/>
    <w:rsid w:val="002E3BCD"/>
    <w:rsid w:val="002E72CB"/>
    <w:rsid w:val="002E76F0"/>
    <w:rsid w:val="002F00E8"/>
    <w:rsid w:val="002F1425"/>
    <w:rsid w:val="002F234D"/>
    <w:rsid w:val="002F34E3"/>
    <w:rsid w:val="002F6184"/>
    <w:rsid w:val="002F72DB"/>
    <w:rsid w:val="002F7462"/>
    <w:rsid w:val="00301B2B"/>
    <w:rsid w:val="00302834"/>
    <w:rsid w:val="003075DD"/>
    <w:rsid w:val="003109FA"/>
    <w:rsid w:val="003152E0"/>
    <w:rsid w:val="00315925"/>
    <w:rsid w:val="0031613C"/>
    <w:rsid w:val="00317265"/>
    <w:rsid w:val="0032098C"/>
    <w:rsid w:val="00320CFE"/>
    <w:rsid w:val="00320EB6"/>
    <w:rsid w:val="00331436"/>
    <w:rsid w:val="003318DE"/>
    <w:rsid w:val="00332842"/>
    <w:rsid w:val="003336FB"/>
    <w:rsid w:val="0033483D"/>
    <w:rsid w:val="003349B8"/>
    <w:rsid w:val="003359BC"/>
    <w:rsid w:val="00337B6E"/>
    <w:rsid w:val="003427F6"/>
    <w:rsid w:val="0034357A"/>
    <w:rsid w:val="00344085"/>
    <w:rsid w:val="003450B2"/>
    <w:rsid w:val="00352312"/>
    <w:rsid w:val="003524A0"/>
    <w:rsid w:val="00352754"/>
    <w:rsid w:val="00352FFE"/>
    <w:rsid w:val="003541D4"/>
    <w:rsid w:val="00354B48"/>
    <w:rsid w:val="0035627E"/>
    <w:rsid w:val="00361A91"/>
    <w:rsid w:val="00361D02"/>
    <w:rsid w:val="00364BC4"/>
    <w:rsid w:val="00365592"/>
    <w:rsid w:val="00367DFE"/>
    <w:rsid w:val="00372797"/>
    <w:rsid w:val="00372AC7"/>
    <w:rsid w:val="00373854"/>
    <w:rsid w:val="003743BD"/>
    <w:rsid w:val="00377B59"/>
    <w:rsid w:val="00377BBB"/>
    <w:rsid w:val="00377E0E"/>
    <w:rsid w:val="003802DD"/>
    <w:rsid w:val="0038191A"/>
    <w:rsid w:val="00384A0E"/>
    <w:rsid w:val="00387ADA"/>
    <w:rsid w:val="00390112"/>
    <w:rsid w:val="0039024A"/>
    <w:rsid w:val="00390D15"/>
    <w:rsid w:val="00391236"/>
    <w:rsid w:val="0039184C"/>
    <w:rsid w:val="003966C7"/>
    <w:rsid w:val="003969BA"/>
    <w:rsid w:val="003A035F"/>
    <w:rsid w:val="003A0AC7"/>
    <w:rsid w:val="003A23F6"/>
    <w:rsid w:val="003A3585"/>
    <w:rsid w:val="003A38C0"/>
    <w:rsid w:val="003A55EC"/>
    <w:rsid w:val="003A5D48"/>
    <w:rsid w:val="003A6036"/>
    <w:rsid w:val="003A60F1"/>
    <w:rsid w:val="003A6623"/>
    <w:rsid w:val="003A66EF"/>
    <w:rsid w:val="003A6D29"/>
    <w:rsid w:val="003A71F0"/>
    <w:rsid w:val="003A7916"/>
    <w:rsid w:val="003B1049"/>
    <w:rsid w:val="003B1344"/>
    <w:rsid w:val="003B207C"/>
    <w:rsid w:val="003B5370"/>
    <w:rsid w:val="003B53FB"/>
    <w:rsid w:val="003B5DC2"/>
    <w:rsid w:val="003B6953"/>
    <w:rsid w:val="003B6EA6"/>
    <w:rsid w:val="003B72C1"/>
    <w:rsid w:val="003C05E2"/>
    <w:rsid w:val="003C213B"/>
    <w:rsid w:val="003C21E2"/>
    <w:rsid w:val="003C536A"/>
    <w:rsid w:val="003C53B0"/>
    <w:rsid w:val="003C57C6"/>
    <w:rsid w:val="003C5B61"/>
    <w:rsid w:val="003C7B35"/>
    <w:rsid w:val="003D1830"/>
    <w:rsid w:val="003D1E7C"/>
    <w:rsid w:val="003D2C8A"/>
    <w:rsid w:val="003D435D"/>
    <w:rsid w:val="003D46A5"/>
    <w:rsid w:val="003D6ACE"/>
    <w:rsid w:val="003D7633"/>
    <w:rsid w:val="003E0810"/>
    <w:rsid w:val="003E200C"/>
    <w:rsid w:val="003E2495"/>
    <w:rsid w:val="003E30D2"/>
    <w:rsid w:val="003E498E"/>
    <w:rsid w:val="003F0E28"/>
    <w:rsid w:val="003F1166"/>
    <w:rsid w:val="003F4175"/>
    <w:rsid w:val="003F50C3"/>
    <w:rsid w:val="003F59C4"/>
    <w:rsid w:val="003F5E2B"/>
    <w:rsid w:val="003F5FBD"/>
    <w:rsid w:val="003F6063"/>
    <w:rsid w:val="003F65EB"/>
    <w:rsid w:val="003F7768"/>
    <w:rsid w:val="003F77EA"/>
    <w:rsid w:val="003F7BC1"/>
    <w:rsid w:val="00404C57"/>
    <w:rsid w:val="00405C57"/>
    <w:rsid w:val="00405EBD"/>
    <w:rsid w:val="0040705A"/>
    <w:rsid w:val="0040792F"/>
    <w:rsid w:val="00407CD9"/>
    <w:rsid w:val="004106DD"/>
    <w:rsid w:val="00410D7A"/>
    <w:rsid w:val="004116D6"/>
    <w:rsid w:val="00412B15"/>
    <w:rsid w:val="00413187"/>
    <w:rsid w:val="0041383E"/>
    <w:rsid w:val="00414484"/>
    <w:rsid w:val="004208A8"/>
    <w:rsid w:val="00420CE8"/>
    <w:rsid w:val="00420D0D"/>
    <w:rsid w:val="00422A0D"/>
    <w:rsid w:val="00426F87"/>
    <w:rsid w:val="004273D1"/>
    <w:rsid w:val="0042770E"/>
    <w:rsid w:val="00431202"/>
    <w:rsid w:val="00431641"/>
    <w:rsid w:val="00431B43"/>
    <w:rsid w:val="0043469A"/>
    <w:rsid w:val="004353EF"/>
    <w:rsid w:val="0043709C"/>
    <w:rsid w:val="00437260"/>
    <w:rsid w:val="00442E44"/>
    <w:rsid w:val="00442F08"/>
    <w:rsid w:val="00444092"/>
    <w:rsid w:val="00450397"/>
    <w:rsid w:val="004541CA"/>
    <w:rsid w:val="00454327"/>
    <w:rsid w:val="00454460"/>
    <w:rsid w:val="004550B1"/>
    <w:rsid w:val="00455694"/>
    <w:rsid w:val="004618BC"/>
    <w:rsid w:val="00465614"/>
    <w:rsid w:val="004752A4"/>
    <w:rsid w:val="00476155"/>
    <w:rsid w:val="00476833"/>
    <w:rsid w:val="004773F7"/>
    <w:rsid w:val="004777F7"/>
    <w:rsid w:val="00477B8B"/>
    <w:rsid w:val="004802C6"/>
    <w:rsid w:val="004843D0"/>
    <w:rsid w:val="00485583"/>
    <w:rsid w:val="00485629"/>
    <w:rsid w:val="0048567E"/>
    <w:rsid w:val="00485DCD"/>
    <w:rsid w:val="00487A37"/>
    <w:rsid w:val="00490D4C"/>
    <w:rsid w:val="00492744"/>
    <w:rsid w:val="0049278A"/>
    <w:rsid w:val="004955B7"/>
    <w:rsid w:val="00496506"/>
    <w:rsid w:val="00496943"/>
    <w:rsid w:val="00496E4D"/>
    <w:rsid w:val="00497220"/>
    <w:rsid w:val="0049731C"/>
    <w:rsid w:val="004A05E4"/>
    <w:rsid w:val="004A1184"/>
    <w:rsid w:val="004A16E0"/>
    <w:rsid w:val="004A2966"/>
    <w:rsid w:val="004A4D44"/>
    <w:rsid w:val="004A4E33"/>
    <w:rsid w:val="004A5A18"/>
    <w:rsid w:val="004A6B00"/>
    <w:rsid w:val="004B1231"/>
    <w:rsid w:val="004B14C5"/>
    <w:rsid w:val="004B257E"/>
    <w:rsid w:val="004B2962"/>
    <w:rsid w:val="004B3416"/>
    <w:rsid w:val="004B3B5B"/>
    <w:rsid w:val="004B635C"/>
    <w:rsid w:val="004B70DA"/>
    <w:rsid w:val="004B715F"/>
    <w:rsid w:val="004C0C90"/>
    <w:rsid w:val="004C0D90"/>
    <w:rsid w:val="004C2DDA"/>
    <w:rsid w:val="004C488C"/>
    <w:rsid w:val="004C566C"/>
    <w:rsid w:val="004C5E40"/>
    <w:rsid w:val="004C614A"/>
    <w:rsid w:val="004D02E0"/>
    <w:rsid w:val="004D05C1"/>
    <w:rsid w:val="004D06F1"/>
    <w:rsid w:val="004D0CAA"/>
    <w:rsid w:val="004D3525"/>
    <w:rsid w:val="004D635E"/>
    <w:rsid w:val="004E1E08"/>
    <w:rsid w:val="004E245E"/>
    <w:rsid w:val="004E7F14"/>
    <w:rsid w:val="004F0792"/>
    <w:rsid w:val="004F5E7E"/>
    <w:rsid w:val="004F6070"/>
    <w:rsid w:val="0050110F"/>
    <w:rsid w:val="00502661"/>
    <w:rsid w:val="00502AD6"/>
    <w:rsid w:val="005039EB"/>
    <w:rsid w:val="00504DD9"/>
    <w:rsid w:val="005069AA"/>
    <w:rsid w:val="00506A70"/>
    <w:rsid w:val="005072C0"/>
    <w:rsid w:val="0050790A"/>
    <w:rsid w:val="0051067E"/>
    <w:rsid w:val="005107ED"/>
    <w:rsid w:val="00510AA1"/>
    <w:rsid w:val="00510D30"/>
    <w:rsid w:val="00511D31"/>
    <w:rsid w:val="00513101"/>
    <w:rsid w:val="00513796"/>
    <w:rsid w:val="005210C7"/>
    <w:rsid w:val="005229CD"/>
    <w:rsid w:val="00522B12"/>
    <w:rsid w:val="00523168"/>
    <w:rsid w:val="00524AD8"/>
    <w:rsid w:val="00532878"/>
    <w:rsid w:val="00534264"/>
    <w:rsid w:val="005347D9"/>
    <w:rsid w:val="005357F9"/>
    <w:rsid w:val="00537290"/>
    <w:rsid w:val="00537325"/>
    <w:rsid w:val="00537414"/>
    <w:rsid w:val="00541124"/>
    <w:rsid w:val="005443C4"/>
    <w:rsid w:val="00544ED6"/>
    <w:rsid w:val="005461E1"/>
    <w:rsid w:val="0054660C"/>
    <w:rsid w:val="00551B28"/>
    <w:rsid w:val="00551F0E"/>
    <w:rsid w:val="0055276B"/>
    <w:rsid w:val="00554011"/>
    <w:rsid w:val="0055542C"/>
    <w:rsid w:val="005554FD"/>
    <w:rsid w:val="00555E5D"/>
    <w:rsid w:val="00557ACB"/>
    <w:rsid w:val="00561D47"/>
    <w:rsid w:val="00566548"/>
    <w:rsid w:val="0056778E"/>
    <w:rsid w:val="00567C36"/>
    <w:rsid w:val="00571225"/>
    <w:rsid w:val="00571509"/>
    <w:rsid w:val="00571C32"/>
    <w:rsid w:val="005721BD"/>
    <w:rsid w:val="00572F56"/>
    <w:rsid w:val="00575CEE"/>
    <w:rsid w:val="00576C13"/>
    <w:rsid w:val="005771CB"/>
    <w:rsid w:val="00580C84"/>
    <w:rsid w:val="00581A51"/>
    <w:rsid w:val="00583356"/>
    <w:rsid w:val="005838CD"/>
    <w:rsid w:val="00583E80"/>
    <w:rsid w:val="0058457E"/>
    <w:rsid w:val="005863EA"/>
    <w:rsid w:val="00590547"/>
    <w:rsid w:val="0059421B"/>
    <w:rsid w:val="00596E77"/>
    <w:rsid w:val="005A2D55"/>
    <w:rsid w:val="005A3D29"/>
    <w:rsid w:val="005A6A45"/>
    <w:rsid w:val="005A7735"/>
    <w:rsid w:val="005A7EA3"/>
    <w:rsid w:val="005B0972"/>
    <w:rsid w:val="005B0D38"/>
    <w:rsid w:val="005B119C"/>
    <w:rsid w:val="005B1D90"/>
    <w:rsid w:val="005B459E"/>
    <w:rsid w:val="005B5E87"/>
    <w:rsid w:val="005B6F70"/>
    <w:rsid w:val="005C0B07"/>
    <w:rsid w:val="005C34E8"/>
    <w:rsid w:val="005C5BB6"/>
    <w:rsid w:val="005C63CB"/>
    <w:rsid w:val="005C7B58"/>
    <w:rsid w:val="005C7CDF"/>
    <w:rsid w:val="005D2DDB"/>
    <w:rsid w:val="005D4D42"/>
    <w:rsid w:val="005D516E"/>
    <w:rsid w:val="005D6323"/>
    <w:rsid w:val="005D734D"/>
    <w:rsid w:val="005E2B8F"/>
    <w:rsid w:val="005E30EC"/>
    <w:rsid w:val="005E4704"/>
    <w:rsid w:val="005E5F99"/>
    <w:rsid w:val="005F2441"/>
    <w:rsid w:val="005F4ACA"/>
    <w:rsid w:val="005F4CE9"/>
    <w:rsid w:val="005F6A67"/>
    <w:rsid w:val="005F7C4A"/>
    <w:rsid w:val="005F7E10"/>
    <w:rsid w:val="0060337D"/>
    <w:rsid w:val="00606010"/>
    <w:rsid w:val="006063B8"/>
    <w:rsid w:val="00613CD2"/>
    <w:rsid w:val="006141A9"/>
    <w:rsid w:val="006153B5"/>
    <w:rsid w:val="006217A7"/>
    <w:rsid w:val="0062184F"/>
    <w:rsid w:val="006231B7"/>
    <w:rsid w:val="0062497F"/>
    <w:rsid w:val="00625228"/>
    <w:rsid w:val="006273D9"/>
    <w:rsid w:val="00627479"/>
    <w:rsid w:val="0063041C"/>
    <w:rsid w:val="00631870"/>
    <w:rsid w:val="00631A18"/>
    <w:rsid w:val="00635990"/>
    <w:rsid w:val="00642D50"/>
    <w:rsid w:val="00643BD2"/>
    <w:rsid w:val="0064748E"/>
    <w:rsid w:val="00647C31"/>
    <w:rsid w:val="006510BA"/>
    <w:rsid w:val="0065161A"/>
    <w:rsid w:val="00653A01"/>
    <w:rsid w:val="0065436C"/>
    <w:rsid w:val="00654590"/>
    <w:rsid w:val="0065508A"/>
    <w:rsid w:val="0065571F"/>
    <w:rsid w:val="006562D5"/>
    <w:rsid w:val="0065661A"/>
    <w:rsid w:val="006578AC"/>
    <w:rsid w:val="00660472"/>
    <w:rsid w:val="006622F9"/>
    <w:rsid w:val="00662661"/>
    <w:rsid w:val="00664831"/>
    <w:rsid w:val="006702B1"/>
    <w:rsid w:val="00671599"/>
    <w:rsid w:val="00671D85"/>
    <w:rsid w:val="00671F3A"/>
    <w:rsid w:val="0067318F"/>
    <w:rsid w:val="0067663D"/>
    <w:rsid w:val="0068388C"/>
    <w:rsid w:val="006838E7"/>
    <w:rsid w:val="006942AC"/>
    <w:rsid w:val="00696EF6"/>
    <w:rsid w:val="00696F1F"/>
    <w:rsid w:val="006975D2"/>
    <w:rsid w:val="006A458E"/>
    <w:rsid w:val="006A464B"/>
    <w:rsid w:val="006A5353"/>
    <w:rsid w:val="006A71C9"/>
    <w:rsid w:val="006B0BFB"/>
    <w:rsid w:val="006B1091"/>
    <w:rsid w:val="006B2121"/>
    <w:rsid w:val="006B2A27"/>
    <w:rsid w:val="006B329A"/>
    <w:rsid w:val="006C50C5"/>
    <w:rsid w:val="006C69F1"/>
    <w:rsid w:val="006C6FC9"/>
    <w:rsid w:val="006C70FD"/>
    <w:rsid w:val="006D2D9B"/>
    <w:rsid w:val="006D3DFA"/>
    <w:rsid w:val="006D6848"/>
    <w:rsid w:val="006E2C4E"/>
    <w:rsid w:val="006E316B"/>
    <w:rsid w:val="006E3CE9"/>
    <w:rsid w:val="006E437D"/>
    <w:rsid w:val="006E4824"/>
    <w:rsid w:val="006E4FAE"/>
    <w:rsid w:val="006E7451"/>
    <w:rsid w:val="006F15B5"/>
    <w:rsid w:val="006F32E6"/>
    <w:rsid w:val="006F3C5A"/>
    <w:rsid w:val="006F3CC7"/>
    <w:rsid w:val="006F46A3"/>
    <w:rsid w:val="006F5187"/>
    <w:rsid w:val="006F5925"/>
    <w:rsid w:val="006F7CAC"/>
    <w:rsid w:val="00700397"/>
    <w:rsid w:val="00700754"/>
    <w:rsid w:val="00700FBC"/>
    <w:rsid w:val="00702C5E"/>
    <w:rsid w:val="00702E18"/>
    <w:rsid w:val="00703C3B"/>
    <w:rsid w:val="00704BB5"/>
    <w:rsid w:val="007059ED"/>
    <w:rsid w:val="00705EC6"/>
    <w:rsid w:val="007061D6"/>
    <w:rsid w:val="007065B2"/>
    <w:rsid w:val="00710493"/>
    <w:rsid w:val="00710598"/>
    <w:rsid w:val="00710D78"/>
    <w:rsid w:val="00712AC2"/>
    <w:rsid w:val="00716285"/>
    <w:rsid w:val="007164AD"/>
    <w:rsid w:val="00716F4D"/>
    <w:rsid w:val="007175CF"/>
    <w:rsid w:val="00717A9C"/>
    <w:rsid w:val="007203B0"/>
    <w:rsid w:val="00724889"/>
    <w:rsid w:val="00725B44"/>
    <w:rsid w:val="00727952"/>
    <w:rsid w:val="00727B46"/>
    <w:rsid w:val="00730322"/>
    <w:rsid w:val="0073105E"/>
    <w:rsid w:val="0073390E"/>
    <w:rsid w:val="00733F59"/>
    <w:rsid w:val="007342C3"/>
    <w:rsid w:val="00734CD4"/>
    <w:rsid w:val="00735E92"/>
    <w:rsid w:val="0073680C"/>
    <w:rsid w:val="00740845"/>
    <w:rsid w:val="00741B5B"/>
    <w:rsid w:val="007420C9"/>
    <w:rsid w:val="007424A6"/>
    <w:rsid w:val="007441B5"/>
    <w:rsid w:val="00747701"/>
    <w:rsid w:val="00750D86"/>
    <w:rsid w:val="007518F5"/>
    <w:rsid w:val="00752319"/>
    <w:rsid w:val="00752D01"/>
    <w:rsid w:val="007533E4"/>
    <w:rsid w:val="00757966"/>
    <w:rsid w:val="007611CF"/>
    <w:rsid w:val="0076271C"/>
    <w:rsid w:val="00763B5B"/>
    <w:rsid w:val="00764415"/>
    <w:rsid w:val="007644E3"/>
    <w:rsid w:val="0076490A"/>
    <w:rsid w:val="00766D99"/>
    <w:rsid w:val="007702D2"/>
    <w:rsid w:val="007713CD"/>
    <w:rsid w:val="0077220E"/>
    <w:rsid w:val="007766DC"/>
    <w:rsid w:val="00776928"/>
    <w:rsid w:val="0078092D"/>
    <w:rsid w:val="0078116F"/>
    <w:rsid w:val="007812DD"/>
    <w:rsid w:val="007822AC"/>
    <w:rsid w:val="00782A6D"/>
    <w:rsid w:val="00782B14"/>
    <w:rsid w:val="0078518B"/>
    <w:rsid w:val="00786436"/>
    <w:rsid w:val="00787001"/>
    <w:rsid w:val="00787B7C"/>
    <w:rsid w:val="00787DE1"/>
    <w:rsid w:val="00787FD6"/>
    <w:rsid w:val="00791A94"/>
    <w:rsid w:val="0079335A"/>
    <w:rsid w:val="00793606"/>
    <w:rsid w:val="00793F01"/>
    <w:rsid w:val="00794F77"/>
    <w:rsid w:val="00795679"/>
    <w:rsid w:val="00795835"/>
    <w:rsid w:val="00795985"/>
    <w:rsid w:val="00796518"/>
    <w:rsid w:val="007967A4"/>
    <w:rsid w:val="0079769E"/>
    <w:rsid w:val="007A1521"/>
    <w:rsid w:val="007A2116"/>
    <w:rsid w:val="007A317C"/>
    <w:rsid w:val="007A47A3"/>
    <w:rsid w:val="007B15A8"/>
    <w:rsid w:val="007B1A06"/>
    <w:rsid w:val="007B2461"/>
    <w:rsid w:val="007B3E05"/>
    <w:rsid w:val="007B4AC2"/>
    <w:rsid w:val="007B6DD6"/>
    <w:rsid w:val="007B7D72"/>
    <w:rsid w:val="007C0C6D"/>
    <w:rsid w:val="007C1FF3"/>
    <w:rsid w:val="007C5041"/>
    <w:rsid w:val="007C5AA7"/>
    <w:rsid w:val="007C5EBB"/>
    <w:rsid w:val="007C6283"/>
    <w:rsid w:val="007D07A5"/>
    <w:rsid w:val="007D22AC"/>
    <w:rsid w:val="007D22CE"/>
    <w:rsid w:val="007D2CE8"/>
    <w:rsid w:val="007D2E1E"/>
    <w:rsid w:val="007D31A9"/>
    <w:rsid w:val="007D3C7C"/>
    <w:rsid w:val="007D58D0"/>
    <w:rsid w:val="007D58FF"/>
    <w:rsid w:val="007D5AF8"/>
    <w:rsid w:val="007D6289"/>
    <w:rsid w:val="007D72F5"/>
    <w:rsid w:val="007D7E6A"/>
    <w:rsid w:val="007D7FA1"/>
    <w:rsid w:val="007E0DE7"/>
    <w:rsid w:val="007E1D4D"/>
    <w:rsid w:val="007E1FC9"/>
    <w:rsid w:val="007E3943"/>
    <w:rsid w:val="007E69D9"/>
    <w:rsid w:val="007E6B38"/>
    <w:rsid w:val="007E6B7A"/>
    <w:rsid w:val="007E6C88"/>
    <w:rsid w:val="007E6EEF"/>
    <w:rsid w:val="007E7341"/>
    <w:rsid w:val="007F1D3C"/>
    <w:rsid w:val="007F1E6B"/>
    <w:rsid w:val="007F2BCB"/>
    <w:rsid w:val="007F2F67"/>
    <w:rsid w:val="007F3D90"/>
    <w:rsid w:val="007F44A6"/>
    <w:rsid w:val="007F5728"/>
    <w:rsid w:val="00803373"/>
    <w:rsid w:val="008039F4"/>
    <w:rsid w:val="00804C39"/>
    <w:rsid w:val="008115EA"/>
    <w:rsid w:val="0081319A"/>
    <w:rsid w:val="00817F3D"/>
    <w:rsid w:val="0082138B"/>
    <w:rsid w:val="008223F9"/>
    <w:rsid w:val="00824955"/>
    <w:rsid w:val="00827722"/>
    <w:rsid w:val="00827ED8"/>
    <w:rsid w:val="00830014"/>
    <w:rsid w:val="008301B7"/>
    <w:rsid w:val="00832445"/>
    <w:rsid w:val="0083304C"/>
    <w:rsid w:val="00834582"/>
    <w:rsid w:val="008357B0"/>
    <w:rsid w:val="008359CF"/>
    <w:rsid w:val="00837CA9"/>
    <w:rsid w:val="00837EA3"/>
    <w:rsid w:val="008404CD"/>
    <w:rsid w:val="0084097F"/>
    <w:rsid w:val="00841C97"/>
    <w:rsid w:val="0084383B"/>
    <w:rsid w:val="00843D12"/>
    <w:rsid w:val="0084489F"/>
    <w:rsid w:val="00844D99"/>
    <w:rsid w:val="00845970"/>
    <w:rsid w:val="00846BFA"/>
    <w:rsid w:val="0084784A"/>
    <w:rsid w:val="008505D5"/>
    <w:rsid w:val="00853811"/>
    <w:rsid w:val="00853B2E"/>
    <w:rsid w:val="00855DF1"/>
    <w:rsid w:val="00860128"/>
    <w:rsid w:val="008613B8"/>
    <w:rsid w:val="00861557"/>
    <w:rsid w:val="008631DD"/>
    <w:rsid w:val="00863512"/>
    <w:rsid w:val="008643EE"/>
    <w:rsid w:val="00864FEE"/>
    <w:rsid w:val="00865E6D"/>
    <w:rsid w:val="0086725B"/>
    <w:rsid w:val="00870E6F"/>
    <w:rsid w:val="00870EED"/>
    <w:rsid w:val="0087116F"/>
    <w:rsid w:val="0087256A"/>
    <w:rsid w:val="00876235"/>
    <w:rsid w:val="0087796C"/>
    <w:rsid w:val="0088375D"/>
    <w:rsid w:val="008901E2"/>
    <w:rsid w:val="008912E8"/>
    <w:rsid w:val="0089325E"/>
    <w:rsid w:val="00896107"/>
    <w:rsid w:val="00896CBB"/>
    <w:rsid w:val="008976E2"/>
    <w:rsid w:val="008A0A88"/>
    <w:rsid w:val="008A0A9D"/>
    <w:rsid w:val="008A14A1"/>
    <w:rsid w:val="008A20A4"/>
    <w:rsid w:val="008A5E95"/>
    <w:rsid w:val="008B3A93"/>
    <w:rsid w:val="008B3F84"/>
    <w:rsid w:val="008B4D7B"/>
    <w:rsid w:val="008B5107"/>
    <w:rsid w:val="008B5EC7"/>
    <w:rsid w:val="008B7C28"/>
    <w:rsid w:val="008C0E76"/>
    <w:rsid w:val="008C2896"/>
    <w:rsid w:val="008C2EAF"/>
    <w:rsid w:val="008C5B2B"/>
    <w:rsid w:val="008C5DF1"/>
    <w:rsid w:val="008C672F"/>
    <w:rsid w:val="008C6C5D"/>
    <w:rsid w:val="008C7E24"/>
    <w:rsid w:val="008D0389"/>
    <w:rsid w:val="008D226F"/>
    <w:rsid w:val="008D34C2"/>
    <w:rsid w:val="008D626D"/>
    <w:rsid w:val="008D6786"/>
    <w:rsid w:val="008D67C4"/>
    <w:rsid w:val="008E3E7C"/>
    <w:rsid w:val="008E4907"/>
    <w:rsid w:val="008E7BC3"/>
    <w:rsid w:val="008F0664"/>
    <w:rsid w:val="008F1A21"/>
    <w:rsid w:val="008F2951"/>
    <w:rsid w:val="008F2E10"/>
    <w:rsid w:val="008F521F"/>
    <w:rsid w:val="008F5269"/>
    <w:rsid w:val="008F61CF"/>
    <w:rsid w:val="00903100"/>
    <w:rsid w:val="00903D04"/>
    <w:rsid w:val="00904965"/>
    <w:rsid w:val="00907174"/>
    <w:rsid w:val="009072B1"/>
    <w:rsid w:val="009104DA"/>
    <w:rsid w:val="009125C4"/>
    <w:rsid w:val="00912F00"/>
    <w:rsid w:val="009171D3"/>
    <w:rsid w:val="00917494"/>
    <w:rsid w:val="0092178C"/>
    <w:rsid w:val="009244AD"/>
    <w:rsid w:val="0092543B"/>
    <w:rsid w:val="00925A66"/>
    <w:rsid w:val="009261D4"/>
    <w:rsid w:val="00930E30"/>
    <w:rsid w:val="009313AA"/>
    <w:rsid w:val="00934760"/>
    <w:rsid w:val="009351FE"/>
    <w:rsid w:val="00935B69"/>
    <w:rsid w:val="0094038A"/>
    <w:rsid w:val="00942E38"/>
    <w:rsid w:val="00943196"/>
    <w:rsid w:val="0094368C"/>
    <w:rsid w:val="009437D5"/>
    <w:rsid w:val="00943B8A"/>
    <w:rsid w:val="00944EA9"/>
    <w:rsid w:val="009466A7"/>
    <w:rsid w:val="00950063"/>
    <w:rsid w:val="00950717"/>
    <w:rsid w:val="00952238"/>
    <w:rsid w:val="00952860"/>
    <w:rsid w:val="0095447C"/>
    <w:rsid w:val="009555FB"/>
    <w:rsid w:val="009600AF"/>
    <w:rsid w:val="00961B6A"/>
    <w:rsid w:val="00965732"/>
    <w:rsid w:val="0096793E"/>
    <w:rsid w:val="009704D1"/>
    <w:rsid w:val="0097269C"/>
    <w:rsid w:val="009731C2"/>
    <w:rsid w:val="009734C1"/>
    <w:rsid w:val="00975C2E"/>
    <w:rsid w:val="00984762"/>
    <w:rsid w:val="00984A8B"/>
    <w:rsid w:val="00987D2D"/>
    <w:rsid w:val="00990D46"/>
    <w:rsid w:val="009951DF"/>
    <w:rsid w:val="0099645A"/>
    <w:rsid w:val="00996A7E"/>
    <w:rsid w:val="009970C1"/>
    <w:rsid w:val="009A12B2"/>
    <w:rsid w:val="009A32F9"/>
    <w:rsid w:val="009A4070"/>
    <w:rsid w:val="009A4C1A"/>
    <w:rsid w:val="009A65F7"/>
    <w:rsid w:val="009A695F"/>
    <w:rsid w:val="009A732B"/>
    <w:rsid w:val="009A7488"/>
    <w:rsid w:val="009B137C"/>
    <w:rsid w:val="009B21A8"/>
    <w:rsid w:val="009B35EC"/>
    <w:rsid w:val="009B39F0"/>
    <w:rsid w:val="009B3B78"/>
    <w:rsid w:val="009B4562"/>
    <w:rsid w:val="009B537A"/>
    <w:rsid w:val="009B7C3B"/>
    <w:rsid w:val="009C138F"/>
    <w:rsid w:val="009C26CF"/>
    <w:rsid w:val="009C3992"/>
    <w:rsid w:val="009C3D9B"/>
    <w:rsid w:val="009C524F"/>
    <w:rsid w:val="009C5E70"/>
    <w:rsid w:val="009C65AB"/>
    <w:rsid w:val="009D12A3"/>
    <w:rsid w:val="009D1438"/>
    <w:rsid w:val="009D1FC2"/>
    <w:rsid w:val="009D2859"/>
    <w:rsid w:val="009D3C3B"/>
    <w:rsid w:val="009D64FD"/>
    <w:rsid w:val="009E19A7"/>
    <w:rsid w:val="009E2FED"/>
    <w:rsid w:val="009E3113"/>
    <w:rsid w:val="009E3D0E"/>
    <w:rsid w:val="009E4887"/>
    <w:rsid w:val="009E51B0"/>
    <w:rsid w:val="009E560C"/>
    <w:rsid w:val="009E582D"/>
    <w:rsid w:val="009E5D70"/>
    <w:rsid w:val="009E6624"/>
    <w:rsid w:val="009F09BF"/>
    <w:rsid w:val="009F177F"/>
    <w:rsid w:val="009F1C85"/>
    <w:rsid w:val="009F38D4"/>
    <w:rsid w:val="009F3E0B"/>
    <w:rsid w:val="009F4DAC"/>
    <w:rsid w:val="009F6669"/>
    <w:rsid w:val="009F69F5"/>
    <w:rsid w:val="009F6C0C"/>
    <w:rsid w:val="009F6DFA"/>
    <w:rsid w:val="00A00546"/>
    <w:rsid w:val="00A0085A"/>
    <w:rsid w:val="00A023BB"/>
    <w:rsid w:val="00A02991"/>
    <w:rsid w:val="00A0371F"/>
    <w:rsid w:val="00A04A15"/>
    <w:rsid w:val="00A057D7"/>
    <w:rsid w:val="00A066FF"/>
    <w:rsid w:val="00A0717D"/>
    <w:rsid w:val="00A105B9"/>
    <w:rsid w:val="00A10FC0"/>
    <w:rsid w:val="00A1155E"/>
    <w:rsid w:val="00A1241D"/>
    <w:rsid w:val="00A1412D"/>
    <w:rsid w:val="00A147F1"/>
    <w:rsid w:val="00A14B68"/>
    <w:rsid w:val="00A15EC6"/>
    <w:rsid w:val="00A16A30"/>
    <w:rsid w:val="00A20819"/>
    <w:rsid w:val="00A23BF9"/>
    <w:rsid w:val="00A27827"/>
    <w:rsid w:val="00A3136C"/>
    <w:rsid w:val="00A31A5D"/>
    <w:rsid w:val="00A32642"/>
    <w:rsid w:val="00A329B9"/>
    <w:rsid w:val="00A353B8"/>
    <w:rsid w:val="00A35505"/>
    <w:rsid w:val="00A37CA8"/>
    <w:rsid w:val="00A40B9C"/>
    <w:rsid w:val="00A42A73"/>
    <w:rsid w:val="00A45A91"/>
    <w:rsid w:val="00A509AE"/>
    <w:rsid w:val="00A51985"/>
    <w:rsid w:val="00A52D08"/>
    <w:rsid w:val="00A531AE"/>
    <w:rsid w:val="00A54057"/>
    <w:rsid w:val="00A55F69"/>
    <w:rsid w:val="00A60709"/>
    <w:rsid w:val="00A61362"/>
    <w:rsid w:val="00A613B2"/>
    <w:rsid w:val="00A62C53"/>
    <w:rsid w:val="00A62F1B"/>
    <w:rsid w:val="00A65FEE"/>
    <w:rsid w:val="00A6697C"/>
    <w:rsid w:val="00A66B39"/>
    <w:rsid w:val="00A67902"/>
    <w:rsid w:val="00A70D45"/>
    <w:rsid w:val="00A71B8E"/>
    <w:rsid w:val="00A72561"/>
    <w:rsid w:val="00A729D4"/>
    <w:rsid w:val="00A72CBA"/>
    <w:rsid w:val="00A72FB4"/>
    <w:rsid w:val="00A74C22"/>
    <w:rsid w:val="00A81788"/>
    <w:rsid w:val="00A81970"/>
    <w:rsid w:val="00A82552"/>
    <w:rsid w:val="00A85512"/>
    <w:rsid w:val="00A86848"/>
    <w:rsid w:val="00A87B5B"/>
    <w:rsid w:val="00A911CC"/>
    <w:rsid w:val="00A92DFA"/>
    <w:rsid w:val="00A943FC"/>
    <w:rsid w:val="00A952CA"/>
    <w:rsid w:val="00AA1145"/>
    <w:rsid w:val="00AA1A3A"/>
    <w:rsid w:val="00AA1DC3"/>
    <w:rsid w:val="00AA28E6"/>
    <w:rsid w:val="00AA3448"/>
    <w:rsid w:val="00AA7FDD"/>
    <w:rsid w:val="00AB0372"/>
    <w:rsid w:val="00AB1B01"/>
    <w:rsid w:val="00AB39BA"/>
    <w:rsid w:val="00AB51B6"/>
    <w:rsid w:val="00AB786F"/>
    <w:rsid w:val="00AB7998"/>
    <w:rsid w:val="00AC008C"/>
    <w:rsid w:val="00AC077B"/>
    <w:rsid w:val="00AC0A3D"/>
    <w:rsid w:val="00AC22A3"/>
    <w:rsid w:val="00AC2614"/>
    <w:rsid w:val="00AC3049"/>
    <w:rsid w:val="00AC3EA8"/>
    <w:rsid w:val="00AC4EB8"/>
    <w:rsid w:val="00AC5839"/>
    <w:rsid w:val="00AC70D2"/>
    <w:rsid w:val="00AC7ADA"/>
    <w:rsid w:val="00AD0BA4"/>
    <w:rsid w:val="00AD0DD7"/>
    <w:rsid w:val="00AD21DD"/>
    <w:rsid w:val="00AD2653"/>
    <w:rsid w:val="00AD269D"/>
    <w:rsid w:val="00AD3078"/>
    <w:rsid w:val="00AD310C"/>
    <w:rsid w:val="00AD5FA4"/>
    <w:rsid w:val="00AE04FE"/>
    <w:rsid w:val="00AE22D3"/>
    <w:rsid w:val="00AE681E"/>
    <w:rsid w:val="00AE6D43"/>
    <w:rsid w:val="00AE6E82"/>
    <w:rsid w:val="00AE77AF"/>
    <w:rsid w:val="00AE7B1E"/>
    <w:rsid w:val="00AF03C4"/>
    <w:rsid w:val="00AF06B2"/>
    <w:rsid w:val="00AF3286"/>
    <w:rsid w:val="00AF4542"/>
    <w:rsid w:val="00B0070A"/>
    <w:rsid w:val="00B024FC"/>
    <w:rsid w:val="00B0276A"/>
    <w:rsid w:val="00B063FD"/>
    <w:rsid w:val="00B06473"/>
    <w:rsid w:val="00B07E11"/>
    <w:rsid w:val="00B1486C"/>
    <w:rsid w:val="00B1489C"/>
    <w:rsid w:val="00B14DA1"/>
    <w:rsid w:val="00B1696F"/>
    <w:rsid w:val="00B16B05"/>
    <w:rsid w:val="00B21AA5"/>
    <w:rsid w:val="00B23A73"/>
    <w:rsid w:val="00B2474F"/>
    <w:rsid w:val="00B32F6F"/>
    <w:rsid w:val="00B355C7"/>
    <w:rsid w:val="00B36D43"/>
    <w:rsid w:val="00B37375"/>
    <w:rsid w:val="00B379D0"/>
    <w:rsid w:val="00B409AD"/>
    <w:rsid w:val="00B40BFA"/>
    <w:rsid w:val="00B4337C"/>
    <w:rsid w:val="00B45DED"/>
    <w:rsid w:val="00B461D7"/>
    <w:rsid w:val="00B504F3"/>
    <w:rsid w:val="00B51153"/>
    <w:rsid w:val="00B54B2D"/>
    <w:rsid w:val="00B553AF"/>
    <w:rsid w:val="00B56639"/>
    <w:rsid w:val="00B61811"/>
    <w:rsid w:val="00B64897"/>
    <w:rsid w:val="00B64DCA"/>
    <w:rsid w:val="00B653DC"/>
    <w:rsid w:val="00B65B68"/>
    <w:rsid w:val="00B662C1"/>
    <w:rsid w:val="00B67782"/>
    <w:rsid w:val="00B67A87"/>
    <w:rsid w:val="00B71D0D"/>
    <w:rsid w:val="00B72150"/>
    <w:rsid w:val="00B724E0"/>
    <w:rsid w:val="00B72D14"/>
    <w:rsid w:val="00B7380A"/>
    <w:rsid w:val="00B74492"/>
    <w:rsid w:val="00B75643"/>
    <w:rsid w:val="00B768FE"/>
    <w:rsid w:val="00B8286C"/>
    <w:rsid w:val="00B83CCC"/>
    <w:rsid w:val="00B84DBA"/>
    <w:rsid w:val="00B86082"/>
    <w:rsid w:val="00B862E5"/>
    <w:rsid w:val="00B919EC"/>
    <w:rsid w:val="00B93C19"/>
    <w:rsid w:val="00B9636E"/>
    <w:rsid w:val="00B9698F"/>
    <w:rsid w:val="00BA7AF8"/>
    <w:rsid w:val="00BB0E24"/>
    <w:rsid w:val="00BB2218"/>
    <w:rsid w:val="00BB42B8"/>
    <w:rsid w:val="00BB42EF"/>
    <w:rsid w:val="00BB4512"/>
    <w:rsid w:val="00BB691E"/>
    <w:rsid w:val="00BC0DFF"/>
    <w:rsid w:val="00BC1BEC"/>
    <w:rsid w:val="00BC51D3"/>
    <w:rsid w:val="00BC70CA"/>
    <w:rsid w:val="00BC78AC"/>
    <w:rsid w:val="00BD1935"/>
    <w:rsid w:val="00BD4215"/>
    <w:rsid w:val="00BD4C5A"/>
    <w:rsid w:val="00BD66DD"/>
    <w:rsid w:val="00BE38AF"/>
    <w:rsid w:val="00BE5188"/>
    <w:rsid w:val="00BE791F"/>
    <w:rsid w:val="00BE7B8B"/>
    <w:rsid w:val="00BF1426"/>
    <w:rsid w:val="00BF1C30"/>
    <w:rsid w:val="00BF300E"/>
    <w:rsid w:val="00BF3A27"/>
    <w:rsid w:val="00BF4CA7"/>
    <w:rsid w:val="00BF7CFC"/>
    <w:rsid w:val="00C01739"/>
    <w:rsid w:val="00C02657"/>
    <w:rsid w:val="00C02B24"/>
    <w:rsid w:val="00C04A51"/>
    <w:rsid w:val="00C04F46"/>
    <w:rsid w:val="00C06AF9"/>
    <w:rsid w:val="00C10008"/>
    <w:rsid w:val="00C10232"/>
    <w:rsid w:val="00C103D1"/>
    <w:rsid w:val="00C10A6D"/>
    <w:rsid w:val="00C129CA"/>
    <w:rsid w:val="00C12AD8"/>
    <w:rsid w:val="00C143AE"/>
    <w:rsid w:val="00C16AFD"/>
    <w:rsid w:val="00C17491"/>
    <w:rsid w:val="00C17B55"/>
    <w:rsid w:val="00C2163E"/>
    <w:rsid w:val="00C22BAD"/>
    <w:rsid w:val="00C23859"/>
    <w:rsid w:val="00C23E6B"/>
    <w:rsid w:val="00C2620A"/>
    <w:rsid w:val="00C271F5"/>
    <w:rsid w:val="00C30A56"/>
    <w:rsid w:val="00C319FF"/>
    <w:rsid w:val="00C34E8D"/>
    <w:rsid w:val="00C36EAE"/>
    <w:rsid w:val="00C41EC3"/>
    <w:rsid w:val="00C42373"/>
    <w:rsid w:val="00C457E1"/>
    <w:rsid w:val="00C46818"/>
    <w:rsid w:val="00C47947"/>
    <w:rsid w:val="00C52FD8"/>
    <w:rsid w:val="00C53ED8"/>
    <w:rsid w:val="00C553A2"/>
    <w:rsid w:val="00C571E3"/>
    <w:rsid w:val="00C63BB1"/>
    <w:rsid w:val="00C71CCD"/>
    <w:rsid w:val="00C809FD"/>
    <w:rsid w:val="00C823BD"/>
    <w:rsid w:val="00C83DDB"/>
    <w:rsid w:val="00C86AAE"/>
    <w:rsid w:val="00C8774A"/>
    <w:rsid w:val="00C87CFC"/>
    <w:rsid w:val="00C87EFA"/>
    <w:rsid w:val="00C90EF7"/>
    <w:rsid w:val="00C9107B"/>
    <w:rsid w:val="00C921CE"/>
    <w:rsid w:val="00C92913"/>
    <w:rsid w:val="00C9315A"/>
    <w:rsid w:val="00C93704"/>
    <w:rsid w:val="00C937E1"/>
    <w:rsid w:val="00C9404C"/>
    <w:rsid w:val="00C97163"/>
    <w:rsid w:val="00C971DF"/>
    <w:rsid w:val="00CA116E"/>
    <w:rsid w:val="00CA33C8"/>
    <w:rsid w:val="00CA562F"/>
    <w:rsid w:val="00CA604B"/>
    <w:rsid w:val="00CA628D"/>
    <w:rsid w:val="00CA7F36"/>
    <w:rsid w:val="00CB0885"/>
    <w:rsid w:val="00CB1F30"/>
    <w:rsid w:val="00CB4C13"/>
    <w:rsid w:val="00CB5D7F"/>
    <w:rsid w:val="00CB6A04"/>
    <w:rsid w:val="00CB7685"/>
    <w:rsid w:val="00CB7B95"/>
    <w:rsid w:val="00CC0E70"/>
    <w:rsid w:val="00CC1CFB"/>
    <w:rsid w:val="00CC215C"/>
    <w:rsid w:val="00CC3017"/>
    <w:rsid w:val="00CC3C70"/>
    <w:rsid w:val="00CC59BD"/>
    <w:rsid w:val="00CD0B69"/>
    <w:rsid w:val="00CD1CCE"/>
    <w:rsid w:val="00CD3605"/>
    <w:rsid w:val="00CD4E19"/>
    <w:rsid w:val="00CD5472"/>
    <w:rsid w:val="00CD5B2D"/>
    <w:rsid w:val="00CD7058"/>
    <w:rsid w:val="00CE0E10"/>
    <w:rsid w:val="00CE0ED1"/>
    <w:rsid w:val="00CE3A59"/>
    <w:rsid w:val="00CE4D17"/>
    <w:rsid w:val="00CE758D"/>
    <w:rsid w:val="00CE7C6A"/>
    <w:rsid w:val="00CE7D77"/>
    <w:rsid w:val="00CF1ED9"/>
    <w:rsid w:val="00CF24F7"/>
    <w:rsid w:val="00CF2F88"/>
    <w:rsid w:val="00CF3352"/>
    <w:rsid w:val="00CF4178"/>
    <w:rsid w:val="00CF6EEE"/>
    <w:rsid w:val="00CF74EE"/>
    <w:rsid w:val="00D01F08"/>
    <w:rsid w:val="00D039B7"/>
    <w:rsid w:val="00D03AB7"/>
    <w:rsid w:val="00D03B83"/>
    <w:rsid w:val="00D04DB8"/>
    <w:rsid w:val="00D052D8"/>
    <w:rsid w:val="00D142CE"/>
    <w:rsid w:val="00D15099"/>
    <w:rsid w:val="00D15CEF"/>
    <w:rsid w:val="00D1719B"/>
    <w:rsid w:val="00D2181D"/>
    <w:rsid w:val="00D26212"/>
    <w:rsid w:val="00D2736F"/>
    <w:rsid w:val="00D3318E"/>
    <w:rsid w:val="00D33FC9"/>
    <w:rsid w:val="00D35C2E"/>
    <w:rsid w:val="00D35D33"/>
    <w:rsid w:val="00D37568"/>
    <w:rsid w:val="00D37833"/>
    <w:rsid w:val="00D37FCA"/>
    <w:rsid w:val="00D40AA0"/>
    <w:rsid w:val="00D42FD0"/>
    <w:rsid w:val="00D4621C"/>
    <w:rsid w:val="00D47B9A"/>
    <w:rsid w:val="00D5254C"/>
    <w:rsid w:val="00D529AD"/>
    <w:rsid w:val="00D529AE"/>
    <w:rsid w:val="00D550C3"/>
    <w:rsid w:val="00D55727"/>
    <w:rsid w:val="00D56804"/>
    <w:rsid w:val="00D57056"/>
    <w:rsid w:val="00D5713C"/>
    <w:rsid w:val="00D60622"/>
    <w:rsid w:val="00D6192A"/>
    <w:rsid w:val="00D63E78"/>
    <w:rsid w:val="00D67D61"/>
    <w:rsid w:val="00D67E8F"/>
    <w:rsid w:val="00D72335"/>
    <w:rsid w:val="00D72E89"/>
    <w:rsid w:val="00D751FD"/>
    <w:rsid w:val="00D774AE"/>
    <w:rsid w:val="00D8023C"/>
    <w:rsid w:val="00D80936"/>
    <w:rsid w:val="00D83A9A"/>
    <w:rsid w:val="00D83C6E"/>
    <w:rsid w:val="00D84250"/>
    <w:rsid w:val="00D8461D"/>
    <w:rsid w:val="00D84979"/>
    <w:rsid w:val="00D84993"/>
    <w:rsid w:val="00D850EA"/>
    <w:rsid w:val="00D872E3"/>
    <w:rsid w:val="00D87388"/>
    <w:rsid w:val="00D90C23"/>
    <w:rsid w:val="00D917C9"/>
    <w:rsid w:val="00D93DFC"/>
    <w:rsid w:val="00D941CD"/>
    <w:rsid w:val="00D94F23"/>
    <w:rsid w:val="00D95570"/>
    <w:rsid w:val="00D9704E"/>
    <w:rsid w:val="00DA13CB"/>
    <w:rsid w:val="00DA1CC4"/>
    <w:rsid w:val="00DA29E8"/>
    <w:rsid w:val="00DA4FF6"/>
    <w:rsid w:val="00DA69F8"/>
    <w:rsid w:val="00DA703D"/>
    <w:rsid w:val="00DA7281"/>
    <w:rsid w:val="00DB0D6A"/>
    <w:rsid w:val="00DB2061"/>
    <w:rsid w:val="00DB7DA1"/>
    <w:rsid w:val="00DC0310"/>
    <w:rsid w:val="00DC1AE3"/>
    <w:rsid w:val="00DC1B02"/>
    <w:rsid w:val="00DC3F37"/>
    <w:rsid w:val="00DC4264"/>
    <w:rsid w:val="00DC4B69"/>
    <w:rsid w:val="00DC4B93"/>
    <w:rsid w:val="00DC4E27"/>
    <w:rsid w:val="00DC4EF0"/>
    <w:rsid w:val="00DC7765"/>
    <w:rsid w:val="00DD083C"/>
    <w:rsid w:val="00DD1B4D"/>
    <w:rsid w:val="00DD1DE6"/>
    <w:rsid w:val="00DD25B1"/>
    <w:rsid w:val="00DD292F"/>
    <w:rsid w:val="00DD64BD"/>
    <w:rsid w:val="00DE08A5"/>
    <w:rsid w:val="00DE2937"/>
    <w:rsid w:val="00DE44FC"/>
    <w:rsid w:val="00DF0D34"/>
    <w:rsid w:val="00DF147F"/>
    <w:rsid w:val="00DF16B8"/>
    <w:rsid w:val="00DF1881"/>
    <w:rsid w:val="00DF1FCC"/>
    <w:rsid w:val="00DF3532"/>
    <w:rsid w:val="00DF3A76"/>
    <w:rsid w:val="00DF49A1"/>
    <w:rsid w:val="00DF4B0E"/>
    <w:rsid w:val="00DF4CE5"/>
    <w:rsid w:val="00DF721A"/>
    <w:rsid w:val="00E02F37"/>
    <w:rsid w:val="00E03470"/>
    <w:rsid w:val="00E04EEB"/>
    <w:rsid w:val="00E06F6A"/>
    <w:rsid w:val="00E124F4"/>
    <w:rsid w:val="00E13E99"/>
    <w:rsid w:val="00E17A7A"/>
    <w:rsid w:val="00E21E13"/>
    <w:rsid w:val="00E25C28"/>
    <w:rsid w:val="00E3004B"/>
    <w:rsid w:val="00E378FA"/>
    <w:rsid w:val="00E4001B"/>
    <w:rsid w:val="00E42747"/>
    <w:rsid w:val="00E434BA"/>
    <w:rsid w:val="00E506F1"/>
    <w:rsid w:val="00E51F2A"/>
    <w:rsid w:val="00E52DEC"/>
    <w:rsid w:val="00E54723"/>
    <w:rsid w:val="00E5637A"/>
    <w:rsid w:val="00E6098D"/>
    <w:rsid w:val="00E6141C"/>
    <w:rsid w:val="00E61A2B"/>
    <w:rsid w:val="00E62529"/>
    <w:rsid w:val="00E643DE"/>
    <w:rsid w:val="00E645DE"/>
    <w:rsid w:val="00E671C9"/>
    <w:rsid w:val="00E67521"/>
    <w:rsid w:val="00E70174"/>
    <w:rsid w:val="00E7132C"/>
    <w:rsid w:val="00E72BEC"/>
    <w:rsid w:val="00E73BD6"/>
    <w:rsid w:val="00E751A3"/>
    <w:rsid w:val="00E757AA"/>
    <w:rsid w:val="00E76295"/>
    <w:rsid w:val="00E76D03"/>
    <w:rsid w:val="00E779C4"/>
    <w:rsid w:val="00E817E7"/>
    <w:rsid w:val="00E84276"/>
    <w:rsid w:val="00E847C1"/>
    <w:rsid w:val="00E85F72"/>
    <w:rsid w:val="00E86549"/>
    <w:rsid w:val="00E8659E"/>
    <w:rsid w:val="00E86A4C"/>
    <w:rsid w:val="00E87D72"/>
    <w:rsid w:val="00E900D6"/>
    <w:rsid w:val="00E90E0D"/>
    <w:rsid w:val="00E913E1"/>
    <w:rsid w:val="00E9391B"/>
    <w:rsid w:val="00E96B08"/>
    <w:rsid w:val="00E970F7"/>
    <w:rsid w:val="00EA0AC1"/>
    <w:rsid w:val="00EA212F"/>
    <w:rsid w:val="00EA25D7"/>
    <w:rsid w:val="00EA3C4C"/>
    <w:rsid w:val="00EA4DCC"/>
    <w:rsid w:val="00EA5D83"/>
    <w:rsid w:val="00EB2E2E"/>
    <w:rsid w:val="00EB473C"/>
    <w:rsid w:val="00EB4AC4"/>
    <w:rsid w:val="00EB68BD"/>
    <w:rsid w:val="00EB70EE"/>
    <w:rsid w:val="00EC31F7"/>
    <w:rsid w:val="00EC462B"/>
    <w:rsid w:val="00ED0E13"/>
    <w:rsid w:val="00ED1B76"/>
    <w:rsid w:val="00ED3382"/>
    <w:rsid w:val="00ED3916"/>
    <w:rsid w:val="00ED3957"/>
    <w:rsid w:val="00EE0D96"/>
    <w:rsid w:val="00EE5DC9"/>
    <w:rsid w:val="00EE6FD1"/>
    <w:rsid w:val="00EE717A"/>
    <w:rsid w:val="00EF1707"/>
    <w:rsid w:val="00EF711E"/>
    <w:rsid w:val="00F01D88"/>
    <w:rsid w:val="00F0263F"/>
    <w:rsid w:val="00F03A3B"/>
    <w:rsid w:val="00F043D0"/>
    <w:rsid w:val="00F10820"/>
    <w:rsid w:val="00F12DDC"/>
    <w:rsid w:val="00F13BB2"/>
    <w:rsid w:val="00F14A44"/>
    <w:rsid w:val="00F15C25"/>
    <w:rsid w:val="00F160D9"/>
    <w:rsid w:val="00F16738"/>
    <w:rsid w:val="00F20191"/>
    <w:rsid w:val="00F22390"/>
    <w:rsid w:val="00F237BA"/>
    <w:rsid w:val="00F24EA6"/>
    <w:rsid w:val="00F25112"/>
    <w:rsid w:val="00F25A41"/>
    <w:rsid w:val="00F26D16"/>
    <w:rsid w:val="00F27FE1"/>
    <w:rsid w:val="00F379E1"/>
    <w:rsid w:val="00F407F9"/>
    <w:rsid w:val="00F422E9"/>
    <w:rsid w:val="00F4390D"/>
    <w:rsid w:val="00F44D70"/>
    <w:rsid w:val="00F4596B"/>
    <w:rsid w:val="00F5165E"/>
    <w:rsid w:val="00F527D5"/>
    <w:rsid w:val="00F5337B"/>
    <w:rsid w:val="00F53B22"/>
    <w:rsid w:val="00F53FCD"/>
    <w:rsid w:val="00F550BD"/>
    <w:rsid w:val="00F60448"/>
    <w:rsid w:val="00F63D56"/>
    <w:rsid w:val="00F7071F"/>
    <w:rsid w:val="00F7074F"/>
    <w:rsid w:val="00F715A8"/>
    <w:rsid w:val="00F71AAC"/>
    <w:rsid w:val="00F71B76"/>
    <w:rsid w:val="00F736C6"/>
    <w:rsid w:val="00F738C2"/>
    <w:rsid w:val="00F73965"/>
    <w:rsid w:val="00F741B2"/>
    <w:rsid w:val="00F74DDC"/>
    <w:rsid w:val="00F76186"/>
    <w:rsid w:val="00F76A20"/>
    <w:rsid w:val="00F800D6"/>
    <w:rsid w:val="00F82104"/>
    <w:rsid w:val="00F87C9C"/>
    <w:rsid w:val="00F91AFD"/>
    <w:rsid w:val="00F93DAF"/>
    <w:rsid w:val="00F93F7B"/>
    <w:rsid w:val="00F94525"/>
    <w:rsid w:val="00F95A08"/>
    <w:rsid w:val="00F95FD5"/>
    <w:rsid w:val="00F9635B"/>
    <w:rsid w:val="00FA04B3"/>
    <w:rsid w:val="00FA4083"/>
    <w:rsid w:val="00FA4962"/>
    <w:rsid w:val="00FA6E01"/>
    <w:rsid w:val="00FA7183"/>
    <w:rsid w:val="00FA7664"/>
    <w:rsid w:val="00FA766C"/>
    <w:rsid w:val="00FB12D9"/>
    <w:rsid w:val="00FB2030"/>
    <w:rsid w:val="00FB58FD"/>
    <w:rsid w:val="00FB5D09"/>
    <w:rsid w:val="00FB5F27"/>
    <w:rsid w:val="00FB6982"/>
    <w:rsid w:val="00FC0367"/>
    <w:rsid w:val="00FC2709"/>
    <w:rsid w:val="00FC2C25"/>
    <w:rsid w:val="00FC2DA1"/>
    <w:rsid w:val="00FC488B"/>
    <w:rsid w:val="00FC5140"/>
    <w:rsid w:val="00FC60AC"/>
    <w:rsid w:val="00FD006C"/>
    <w:rsid w:val="00FD118C"/>
    <w:rsid w:val="00FD4CB1"/>
    <w:rsid w:val="00FD68BD"/>
    <w:rsid w:val="00FD7D93"/>
    <w:rsid w:val="00FE20C2"/>
    <w:rsid w:val="00FE2A4C"/>
    <w:rsid w:val="00FE37E4"/>
    <w:rsid w:val="00FE37E6"/>
    <w:rsid w:val="00FF025E"/>
    <w:rsid w:val="00FF02AC"/>
    <w:rsid w:val="00FF2A25"/>
    <w:rsid w:val="00FF32FE"/>
    <w:rsid w:val="00FF550C"/>
    <w:rsid w:val="00FF5E5E"/>
    <w:rsid w:val="00FF6A75"/>
    <w:rsid w:val="00FF6AA3"/>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A7B2A"/>
  <w14:defaultImageDpi w14:val="300"/>
  <w15:docId w15:val="{4ABBAA2F-90B7-4C12-8EE9-C9B66E66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E0"/>
    <w:pPr>
      <w:ind w:left="720"/>
      <w:contextualSpacing/>
    </w:pPr>
  </w:style>
  <w:style w:type="paragraph" w:styleId="FootnoteText">
    <w:name w:val="footnote text"/>
    <w:basedOn w:val="Normal"/>
    <w:link w:val="FootnoteTextChar"/>
    <w:uiPriority w:val="99"/>
    <w:unhideWhenUsed/>
    <w:rsid w:val="00952860"/>
  </w:style>
  <w:style w:type="character" w:customStyle="1" w:styleId="FootnoteTextChar">
    <w:name w:val="Footnote Text Char"/>
    <w:basedOn w:val="DefaultParagraphFont"/>
    <w:link w:val="FootnoteText"/>
    <w:uiPriority w:val="99"/>
    <w:rsid w:val="00952860"/>
  </w:style>
  <w:style w:type="character" w:styleId="FootnoteReference">
    <w:name w:val="footnote reference"/>
    <w:basedOn w:val="DefaultParagraphFont"/>
    <w:uiPriority w:val="99"/>
    <w:unhideWhenUsed/>
    <w:rsid w:val="00952860"/>
    <w:rPr>
      <w:vertAlign w:val="superscript"/>
    </w:rPr>
  </w:style>
  <w:style w:type="character" w:styleId="CommentReference">
    <w:name w:val="annotation reference"/>
    <w:basedOn w:val="DefaultParagraphFont"/>
    <w:uiPriority w:val="99"/>
    <w:semiHidden/>
    <w:unhideWhenUsed/>
    <w:rsid w:val="008613B8"/>
    <w:rPr>
      <w:sz w:val="18"/>
      <w:szCs w:val="18"/>
    </w:rPr>
  </w:style>
  <w:style w:type="paragraph" w:styleId="CommentText">
    <w:name w:val="annotation text"/>
    <w:basedOn w:val="Normal"/>
    <w:link w:val="CommentTextChar"/>
    <w:uiPriority w:val="99"/>
    <w:unhideWhenUsed/>
    <w:rsid w:val="008613B8"/>
  </w:style>
  <w:style w:type="character" w:customStyle="1" w:styleId="CommentTextChar">
    <w:name w:val="Comment Text Char"/>
    <w:basedOn w:val="DefaultParagraphFont"/>
    <w:link w:val="CommentText"/>
    <w:uiPriority w:val="99"/>
    <w:rsid w:val="008613B8"/>
  </w:style>
  <w:style w:type="paragraph" w:styleId="CommentSubject">
    <w:name w:val="annotation subject"/>
    <w:basedOn w:val="CommentText"/>
    <w:next w:val="CommentText"/>
    <w:link w:val="CommentSubjectChar"/>
    <w:uiPriority w:val="99"/>
    <w:semiHidden/>
    <w:unhideWhenUsed/>
    <w:rsid w:val="008613B8"/>
    <w:rPr>
      <w:b/>
      <w:bCs/>
      <w:sz w:val="20"/>
      <w:szCs w:val="20"/>
    </w:rPr>
  </w:style>
  <w:style w:type="character" w:customStyle="1" w:styleId="CommentSubjectChar">
    <w:name w:val="Comment Subject Char"/>
    <w:basedOn w:val="CommentTextChar"/>
    <w:link w:val="CommentSubject"/>
    <w:uiPriority w:val="99"/>
    <w:semiHidden/>
    <w:rsid w:val="008613B8"/>
    <w:rPr>
      <w:b/>
      <w:bCs/>
      <w:sz w:val="20"/>
      <w:szCs w:val="20"/>
    </w:rPr>
  </w:style>
  <w:style w:type="paragraph" w:styleId="BalloonText">
    <w:name w:val="Balloon Text"/>
    <w:basedOn w:val="Normal"/>
    <w:link w:val="BalloonTextChar"/>
    <w:uiPriority w:val="99"/>
    <w:semiHidden/>
    <w:unhideWhenUsed/>
    <w:rsid w:val="00861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3B8"/>
    <w:rPr>
      <w:rFonts w:ascii="Lucida Grande" w:hAnsi="Lucida Grande" w:cs="Lucida Grande"/>
      <w:sz w:val="18"/>
      <w:szCs w:val="18"/>
    </w:rPr>
  </w:style>
  <w:style w:type="paragraph" w:styleId="Header">
    <w:name w:val="header"/>
    <w:basedOn w:val="Normal"/>
    <w:link w:val="HeaderChar"/>
    <w:uiPriority w:val="99"/>
    <w:unhideWhenUsed/>
    <w:rsid w:val="000E26ED"/>
    <w:pPr>
      <w:tabs>
        <w:tab w:val="center" w:pos="4680"/>
        <w:tab w:val="right" w:pos="9360"/>
      </w:tabs>
    </w:pPr>
  </w:style>
  <w:style w:type="character" w:customStyle="1" w:styleId="HeaderChar">
    <w:name w:val="Header Char"/>
    <w:basedOn w:val="DefaultParagraphFont"/>
    <w:link w:val="Header"/>
    <w:uiPriority w:val="99"/>
    <w:rsid w:val="000E26ED"/>
  </w:style>
  <w:style w:type="paragraph" w:styleId="Footer">
    <w:name w:val="footer"/>
    <w:basedOn w:val="Normal"/>
    <w:link w:val="FooterChar"/>
    <w:uiPriority w:val="99"/>
    <w:unhideWhenUsed/>
    <w:rsid w:val="000E26ED"/>
    <w:pPr>
      <w:tabs>
        <w:tab w:val="center" w:pos="4680"/>
        <w:tab w:val="right" w:pos="9360"/>
      </w:tabs>
    </w:pPr>
  </w:style>
  <w:style w:type="character" w:customStyle="1" w:styleId="FooterChar">
    <w:name w:val="Footer Char"/>
    <w:basedOn w:val="DefaultParagraphFont"/>
    <w:link w:val="Footer"/>
    <w:uiPriority w:val="99"/>
    <w:rsid w:val="000E26ED"/>
  </w:style>
  <w:style w:type="paragraph" w:customStyle="1" w:styleId="Default">
    <w:name w:val="Default"/>
    <w:rsid w:val="00CA628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3A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1124"/>
  </w:style>
  <w:style w:type="paragraph" w:styleId="Subtitle">
    <w:name w:val="Subtitle"/>
    <w:basedOn w:val="Normal"/>
    <w:next w:val="Normal"/>
    <w:link w:val="SubtitleChar"/>
    <w:rsid w:val="003349B8"/>
    <w:pPr>
      <w:spacing w:after="200" w:line="276" w:lineRule="auto"/>
    </w:pPr>
    <w:rPr>
      <w:rFonts w:ascii="Trebuchet MS" w:eastAsia="Trebuchet MS" w:hAnsi="Trebuchet MS" w:cs="Trebuchet MS"/>
      <w:i/>
      <w:color w:val="666666"/>
      <w:sz w:val="26"/>
      <w:szCs w:val="22"/>
    </w:rPr>
  </w:style>
  <w:style w:type="character" w:customStyle="1" w:styleId="SubtitleChar">
    <w:name w:val="Subtitle Char"/>
    <w:basedOn w:val="DefaultParagraphFont"/>
    <w:link w:val="Subtitle"/>
    <w:rsid w:val="003349B8"/>
    <w:rPr>
      <w:rFonts w:ascii="Trebuchet MS" w:eastAsia="Trebuchet MS" w:hAnsi="Trebuchet MS" w:cs="Trebuchet MS"/>
      <w:i/>
      <w:color w:val="666666"/>
      <w:sz w:val="26"/>
      <w:szCs w:val="22"/>
    </w:rPr>
  </w:style>
  <w:style w:type="paragraph" w:styleId="Title">
    <w:name w:val="Title"/>
    <w:basedOn w:val="Normal"/>
    <w:next w:val="Normal"/>
    <w:link w:val="TitleChar"/>
    <w:rsid w:val="003349B8"/>
    <w:pPr>
      <w:spacing w:line="276" w:lineRule="auto"/>
    </w:pPr>
    <w:rPr>
      <w:rFonts w:ascii="Trebuchet MS" w:eastAsia="Trebuchet MS" w:hAnsi="Trebuchet MS" w:cs="Trebuchet MS"/>
      <w:color w:val="000000"/>
      <w:sz w:val="42"/>
      <w:szCs w:val="22"/>
    </w:rPr>
  </w:style>
  <w:style w:type="character" w:customStyle="1" w:styleId="TitleChar">
    <w:name w:val="Title Char"/>
    <w:basedOn w:val="DefaultParagraphFont"/>
    <w:link w:val="Title"/>
    <w:rsid w:val="003349B8"/>
    <w:rPr>
      <w:rFonts w:ascii="Trebuchet MS" w:eastAsia="Trebuchet MS" w:hAnsi="Trebuchet MS" w:cs="Trebuchet MS"/>
      <w:color w:val="000000"/>
      <w:sz w:val="42"/>
      <w:szCs w:val="22"/>
    </w:rPr>
  </w:style>
  <w:style w:type="character" w:styleId="Hyperlink">
    <w:name w:val="Hyperlink"/>
    <w:basedOn w:val="DefaultParagraphFont"/>
    <w:uiPriority w:val="99"/>
    <w:unhideWhenUsed/>
    <w:rsid w:val="00D2736F"/>
    <w:rPr>
      <w:color w:val="0000FF" w:themeColor="hyperlink"/>
      <w:u w:val="single"/>
    </w:rPr>
  </w:style>
  <w:style w:type="character" w:customStyle="1" w:styleId="term1">
    <w:name w:val="term1"/>
    <w:basedOn w:val="DefaultParagraphFont"/>
    <w:rsid w:val="0056778E"/>
    <w:rPr>
      <w:b/>
      <w:bCs/>
    </w:rPr>
  </w:style>
  <w:style w:type="character" w:customStyle="1" w:styleId="ptext-41">
    <w:name w:val="ptext-41"/>
    <w:basedOn w:val="DefaultParagraphFont"/>
    <w:rsid w:val="00613CD2"/>
  </w:style>
  <w:style w:type="paragraph" w:styleId="NoSpacing">
    <w:name w:val="No Spacing"/>
    <w:uiPriority w:val="1"/>
    <w:qFormat/>
    <w:rsid w:val="000071E4"/>
    <w:rPr>
      <w:rFonts w:ascii="Times New Roman" w:eastAsiaTheme="minorHAnsi" w:hAnsi="Times New Roman"/>
      <w:color w:val="000000" w:themeColor="text1"/>
      <w:szCs w:val="22"/>
    </w:rPr>
  </w:style>
  <w:style w:type="paragraph" w:customStyle="1" w:styleId="paragraph">
    <w:name w:val="paragraph"/>
    <w:basedOn w:val="Normal"/>
    <w:rsid w:val="004B25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1295">
      <w:bodyDiv w:val="1"/>
      <w:marLeft w:val="0"/>
      <w:marRight w:val="0"/>
      <w:marTop w:val="0"/>
      <w:marBottom w:val="0"/>
      <w:divBdr>
        <w:top w:val="none" w:sz="0" w:space="0" w:color="auto"/>
        <w:left w:val="none" w:sz="0" w:space="0" w:color="auto"/>
        <w:bottom w:val="none" w:sz="0" w:space="0" w:color="auto"/>
        <w:right w:val="none" w:sz="0" w:space="0" w:color="auto"/>
      </w:divBdr>
    </w:div>
    <w:div w:id="536235066">
      <w:bodyDiv w:val="1"/>
      <w:marLeft w:val="0"/>
      <w:marRight w:val="0"/>
      <w:marTop w:val="0"/>
      <w:marBottom w:val="0"/>
      <w:divBdr>
        <w:top w:val="none" w:sz="0" w:space="0" w:color="auto"/>
        <w:left w:val="none" w:sz="0" w:space="0" w:color="auto"/>
        <w:bottom w:val="none" w:sz="0" w:space="0" w:color="auto"/>
        <w:right w:val="none" w:sz="0" w:space="0" w:color="auto"/>
      </w:divBdr>
    </w:div>
    <w:div w:id="595285024">
      <w:bodyDiv w:val="1"/>
      <w:marLeft w:val="0"/>
      <w:marRight w:val="0"/>
      <w:marTop w:val="0"/>
      <w:marBottom w:val="0"/>
      <w:divBdr>
        <w:top w:val="none" w:sz="0" w:space="0" w:color="auto"/>
        <w:left w:val="none" w:sz="0" w:space="0" w:color="auto"/>
        <w:bottom w:val="none" w:sz="0" w:space="0" w:color="auto"/>
        <w:right w:val="none" w:sz="0" w:space="0" w:color="auto"/>
      </w:divBdr>
    </w:div>
    <w:div w:id="773400839">
      <w:bodyDiv w:val="1"/>
      <w:marLeft w:val="0"/>
      <w:marRight w:val="0"/>
      <w:marTop w:val="0"/>
      <w:marBottom w:val="0"/>
      <w:divBdr>
        <w:top w:val="none" w:sz="0" w:space="0" w:color="auto"/>
        <w:left w:val="none" w:sz="0" w:space="0" w:color="auto"/>
        <w:bottom w:val="none" w:sz="0" w:space="0" w:color="auto"/>
        <w:right w:val="none" w:sz="0" w:space="0" w:color="auto"/>
      </w:divBdr>
    </w:div>
    <w:div w:id="847718663">
      <w:bodyDiv w:val="1"/>
      <w:marLeft w:val="0"/>
      <w:marRight w:val="0"/>
      <w:marTop w:val="0"/>
      <w:marBottom w:val="0"/>
      <w:divBdr>
        <w:top w:val="none" w:sz="0" w:space="0" w:color="auto"/>
        <w:left w:val="none" w:sz="0" w:space="0" w:color="auto"/>
        <w:bottom w:val="none" w:sz="0" w:space="0" w:color="auto"/>
        <w:right w:val="none" w:sz="0" w:space="0" w:color="auto"/>
      </w:divBdr>
    </w:div>
    <w:div w:id="874931218">
      <w:bodyDiv w:val="1"/>
      <w:marLeft w:val="0"/>
      <w:marRight w:val="0"/>
      <w:marTop w:val="0"/>
      <w:marBottom w:val="0"/>
      <w:divBdr>
        <w:top w:val="none" w:sz="0" w:space="0" w:color="auto"/>
        <w:left w:val="none" w:sz="0" w:space="0" w:color="auto"/>
        <w:bottom w:val="none" w:sz="0" w:space="0" w:color="auto"/>
        <w:right w:val="none" w:sz="0" w:space="0" w:color="auto"/>
      </w:divBdr>
    </w:div>
    <w:div w:id="1114712396">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1844316024">
      <w:bodyDiv w:val="1"/>
      <w:marLeft w:val="0"/>
      <w:marRight w:val="0"/>
      <w:marTop w:val="0"/>
      <w:marBottom w:val="0"/>
      <w:divBdr>
        <w:top w:val="none" w:sz="0" w:space="0" w:color="auto"/>
        <w:left w:val="none" w:sz="0" w:space="0" w:color="auto"/>
        <w:bottom w:val="none" w:sz="0" w:space="0" w:color="auto"/>
        <w:right w:val="none" w:sz="0" w:space="0" w:color="auto"/>
      </w:divBdr>
    </w:div>
    <w:div w:id="194152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1726-7CA0-4564-A41C-24ED575D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BLASKI</dc:creator>
  <cp:lastModifiedBy>david ware</cp:lastModifiedBy>
  <cp:revision>2</cp:revision>
  <cp:lastPrinted>2017-10-23T19:29:00Z</cp:lastPrinted>
  <dcterms:created xsi:type="dcterms:W3CDTF">2017-11-06T14:59:00Z</dcterms:created>
  <dcterms:modified xsi:type="dcterms:W3CDTF">2017-11-06T14:59:00Z</dcterms:modified>
</cp:coreProperties>
</file>