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036" w:rsidRDefault="00FA5036">
      <w:pPr>
        <w:rPr>
          <w:rFonts w:ascii="Times New Roman Bold" w:hAnsi="Times New Roman Bold"/>
          <w:b/>
          <w:smallCaps/>
          <w:sz w:val="28"/>
          <w:szCs w:val="28"/>
        </w:rPr>
      </w:pPr>
      <w:r w:rsidRPr="00621530">
        <w:rPr>
          <w:rFonts w:ascii="Times New Roman Bold" w:hAnsi="Times New Roman Bold"/>
          <w:b/>
          <w:smallCaps/>
          <w:sz w:val="28"/>
          <w:szCs w:val="28"/>
        </w:rPr>
        <w:t>Removing Conditions from Residency: Joint Filing and Waivers</w:t>
      </w:r>
    </w:p>
    <w:p w:rsidR="00FA5036" w:rsidRPr="00FA5036" w:rsidRDefault="0083157A">
      <w:pPr>
        <w:rPr>
          <w:rFonts w:ascii="Times New Roman" w:eastAsia="MS Mincho" w:hAnsi="Times New Roman" w:cs="Times New Roman"/>
          <w:sz w:val="24"/>
          <w:szCs w:val="24"/>
        </w:rPr>
      </w:pPr>
      <w:r>
        <w:rPr>
          <w:rFonts w:ascii="Times New Roman Bold" w:hAnsi="Times New Roman Bold"/>
          <w:smallCaps/>
          <w:sz w:val="28"/>
          <w:szCs w:val="28"/>
        </w:rPr>
        <w:t xml:space="preserve">By: </w:t>
      </w:r>
      <w:r w:rsidR="00FA5036" w:rsidRPr="00FA5036">
        <w:rPr>
          <w:rFonts w:ascii="Times New Roman Bold" w:hAnsi="Times New Roman Bold"/>
          <w:smallCaps/>
          <w:sz w:val="28"/>
          <w:szCs w:val="28"/>
        </w:rPr>
        <w:t xml:space="preserve">Irene </w:t>
      </w:r>
      <w:proofErr w:type="spellStart"/>
      <w:r w:rsidR="00FA5036" w:rsidRPr="00FA5036">
        <w:rPr>
          <w:rFonts w:ascii="Times New Roman Bold" w:hAnsi="Times New Roman Bold"/>
          <w:smallCaps/>
          <w:sz w:val="28"/>
          <w:szCs w:val="28"/>
        </w:rPr>
        <w:t>Mugambi</w:t>
      </w:r>
      <w:proofErr w:type="spellEnd"/>
      <w:r>
        <w:rPr>
          <w:rFonts w:ascii="Times New Roman Bold" w:hAnsi="Times New Roman Bold"/>
          <w:smallCaps/>
          <w:sz w:val="28"/>
          <w:szCs w:val="28"/>
        </w:rPr>
        <w:t xml:space="preserve"> and Lawrence E. Davis</w:t>
      </w:r>
    </w:p>
    <w:p w:rsidR="00FA5036" w:rsidRDefault="00FA5036">
      <w:pPr>
        <w:rPr>
          <w:rFonts w:ascii="Times New Roman" w:eastAsia="MS Mincho" w:hAnsi="Times New Roman" w:cs="Times New Roman"/>
          <w:b/>
          <w:sz w:val="24"/>
          <w:szCs w:val="24"/>
        </w:rPr>
      </w:pPr>
    </w:p>
    <w:p w:rsidR="00C96141" w:rsidRPr="00C96141" w:rsidRDefault="00C96141">
      <w:pPr>
        <w:rPr>
          <w:rFonts w:ascii="Times New Roman" w:eastAsia="MS Mincho" w:hAnsi="Times New Roman" w:cs="Times New Roman"/>
          <w:b/>
          <w:sz w:val="24"/>
          <w:szCs w:val="24"/>
        </w:rPr>
      </w:pPr>
      <w:r w:rsidRPr="00C96141">
        <w:rPr>
          <w:rFonts w:ascii="Times New Roman" w:eastAsia="MS Mincho" w:hAnsi="Times New Roman" w:cs="Times New Roman"/>
          <w:b/>
          <w:sz w:val="24"/>
          <w:szCs w:val="24"/>
        </w:rPr>
        <w:t>CONDITIONAL RESIDENCE</w:t>
      </w:r>
    </w:p>
    <w:p w:rsidR="00FA5036" w:rsidRDefault="00DA40BF" w:rsidP="00FA5036">
      <w:pPr>
        <w:jc w:val="both"/>
        <w:rPr>
          <w:rFonts w:ascii="Times New Roman" w:eastAsia="Times New Roman" w:hAnsi="Times New Roman" w:cs="Times New Roman"/>
          <w:sz w:val="24"/>
          <w:szCs w:val="24"/>
        </w:rPr>
      </w:pPr>
      <w:r w:rsidRPr="00DA40BF">
        <w:rPr>
          <w:rFonts w:ascii="Times New Roman" w:eastAsia="MS Mincho" w:hAnsi="Times New Roman" w:cs="Times New Roman"/>
          <w:sz w:val="24"/>
          <w:szCs w:val="24"/>
        </w:rPr>
        <w:t>The</w:t>
      </w:r>
      <w:r>
        <w:rPr>
          <w:rFonts w:ascii="Times New Roman" w:eastAsia="MS Mincho" w:hAnsi="Times New Roman" w:cs="Times New Roman"/>
          <w:sz w:val="24"/>
          <w:szCs w:val="24"/>
        </w:rPr>
        <w:t xml:space="preserve"> INA</w:t>
      </w:r>
      <w:r w:rsidRPr="00DA40BF">
        <w:rPr>
          <w:rFonts w:ascii="Times New Roman" w:eastAsia="MS Mincho" w:hAnsi="Times New Roman" w:cs="Times New Roman"/>
          <w:sz w:val="24"/>
          <w:szCs w:val="24"/>
        </w:rPr>
        <w:t xml:space="preserve"> imposes an initial two-year period of conditional residency on certain persons who acquire resident status through marriage to a U.S. citizen</w:t>
      </w:r>
      <w:r w:rsidR="00FF4B14">
        <w:rPr>
          <w:rFonts w:ascii="Times New Roman" w:eastAsia="MS Mincho" w:hAnsi="Times New Roman" w:cs="Times New Roman"/>
          <w:sz w:val="24"/>
          <w:szCs w:val="24"/>
        </w:rPr>
        <w:t xml:space="preserve"> or permanent resident</w:t>
      </w:r>
      <w:r w:rsidRPr="00DA40BF">
        <w:rPr>
          <w:rFonts w:ascii="Times New Roman" w:eastAsia="MS Mincho" w:hAnsi="Times New Roman" w:cs="Times New Roman"/>
          <w:sz w:val="24"/>
          <w:szCs w:val="24"/>
        </w:rPr>
        <w:t>.</w:t>
      </w:r>
      <w:r w:rsidR="00FA5036">
        <w:rPr>
          <w:rStyle w:val="FootnoteReference"/>
          <w:rFonts w:eastAsia="MS Mincho" w:cs="Times New Roman"/>
          <w:szCs w:val="24"/>
        </w:rPr>
        <w:footnoteReference w:id="1"/>
      </w:r>
      <w:r>
        <w:rPr>
          <w:rFonts w:ascii="Times New Roman" w:eastAsia="MS Mincho" w:hAnsi="Times New Roman" w:cs="Times New Roman"/>
          <w:sz w:val="24"/>
          <w:szCs w:val="24"/>
          <w:vertAlign w:val="superscript"/>
        </w:rPr>
        <w:t xml:space="preserve"> </w:t>
      </w:r>
      <w:r w:rsidR="00255E15">
        <w:rPr>
          <w:rFonts w:ascii="Times New Roman" w:eastAsia="Times New Roman" w:hAnsi="Times New Roman" w:cs="Times New Roman"/>
          <w:sz w:val="24"/>
          <w:szCs w:val="24"/>
        </w:rPr>
        <w:t xml:space="preserve">  </w:t>
      </w:r>
      <w:r w:rsidRPr="00DA40BF">
        <w:rPr>
          <w:rFonts w:ascii="Times New Roman" w:eastAsia="Times New Roman" w:hAnsi="Times New Roman" w:cs="Times New Roman"/>
          <w:sz w:val="24"/>
          <w:szCs w:val="24"/>
        </w:rPr>
        <w:t xml:space="preserve">If a couple has been married for less than two years at the time residency is granted, the </w:t>
      </w:r>
      <w:r w:rsidR="00FF4B14">
        <w:rPr>
          <w:rFonts w:ascii="Times New Roman" w:eastAsia="Times New Roman" w:hAnsi="Times New Roman" w:cs="Times New Roman"/>
          <w:sz w:val="24"/>
          <w:szCs w:val="24"/>
        </w:rPr>
        <w:t>noncitizen/nonresident</w:t>
      </w:r>
      <w:r w:rsidRPr="00DA40BF">
        <w:rPr>
          <w:rFonts w:ascii="Times New Roman" w:eastAsia="Times New Roman" w:hAnsi="Times New Roman" w:cs="Times New Roman"/>
          <w:sz w:val="24"/>
          <w:szCs w:val="24"/>
        </w:rPr>
        <w:t xml:space="preserve"> will acquire conditional residence and be required to later remove this condition.</w:t>
      </w:r>
      <w:r>
        <w:rPr>
          <w:rFonts w:ascii="Times New Roman" w:eastAsia="Times New Roman" w:hAnsi="Times New Roman" w:cs="Times New Roman"/>
          <w:sz w:val="24"/>
          <w:szCs w:val="24"/>
        </w:rPr>
        <w:t xml:space="preserve"> </w:t>
      </w:r>
      <w:r w:rsidRPr="00DA40BF">
        <w:rPr>
          <w:rFonts w:ascii="Times New Roman" w:eastAsia="Times New Roman" w:hAnsi="Times New Roman" w:cs="Times New Roman"/>
          <w:sz w:val="24"/>
          <w:szCs w:val="24"/>
        </w:rPr>
        <w:t xml:space="preserve"> </w:t>
      </w:r>
      <w:r w:rsidR="00255E15">
        <w:rPr>
          <w:rFonts w:ascii="Times New Roman" w:eastAsia="Times New Roman" w:hAnsi="Times New Roman" w:cs="Times New Roman"/>
          <w:sz w:val="24"/>
          <w:szCs w:val="24"/>
        </w:rPr>
        <w:t>Eligible step-children also acquire conditional residence if their parent has been married less th</w:t>
      </w:r>
      <w:r w:rsidR="00FF4B14">
        <w:rPr>
          <w:rFonts w:ascii="Times New Roman" w:eastAsia="Times New Roman" w:hAnsi="Times New Roman" w:cs="Times New Roman"/>
          <w:sz w:val="24"/>
          <w:szCs w:val="24"/>
        </w:rPr>
        <w:t xml:space="preserve">an two years to the U.S. Citizen/Permanent Resident </w:t>
      </w:r>
      <w:r w:rsidR="00255E15">
        <w:rPr>
          <w:rFonts w:ascii="Times New Roman" w:eastAsia="Times New Roman" w:hAnsi="Times New Roman" w:cs="Times New Roman"/>
          <w:sz w:val="24"/>
          <w:szCs w:val="24"/>
        </w:rPr>
        <w:t xml:space="preserve">when they acquire their residence.  </w:t>
      </w:r>
    </w:p>
    <w:p w:rsidR="00C96141" w:rsidRDefault="00DA40BF" w:rsidP="00FA5036">
      <w:pPr>
        <w:jc w:val="both"/>
        <w:rPr>
          <w:rFonts w:ascii="Times New Roman" w:eastAsia="Times New Roman" w:hAnsi="Times New Roman" w:cs="Times New Roman"/>
          <w:sz w:val="24"/>
          <w:szCs w:val="24"/>
        </w:rPr>
      </w:pPr>
      <w:r w:rsidRPr="00DA40BF">
        <w:rPr>
          <w:rFonts w:ascii="Times New Roman" w:eastAsia="Times New Roman" w:hAnsi="Times New Roman" w:cs="Times New Roman"/>
          <w:sz w:val="24"/>
          <w:szCs w:val="24"/>
        </w:rPr>
        <w:t>To remove the condition</w:t>
      </w:r>
      <w:r w:rsidR="00FF4B14">
        <w:rPr>
          <w:rFonts w:ascii="Times New Roman" w:eastAsia="Times New Roman" w:hAnsi="Times New Roman" w:cs="Times New Roman"/>
          <w:sz w:val="24"/>
          <w:szCs w:val="24"/>
        </w:rPr>
        <w:t xml:space="preserve"> on their status</w:t>
      </w:r>
      <w:r w:rsidRPr="00DA40BF">
        <w:rPr>
          <w:rFonts w:ascii="Times New Roman" w:eastAsia="Times New Roman" w:hAnsi="Times New Roman" w:cs="Times New Roman"/>
          <w:sz w:val="24"/>
          <w:szCs w:val="24"/>
        </w:rPr>
        <w:t>, an applicant must either file a joint I-751 petition with the U.S. citizen spouse or file for a waiver of this requirement.</w:t>
      </w:r>
      <w:r w:rsidR="00255E15">
        <w:rPr>
          <w:rFonts w:ascii="Times New Roman" w:eastAsia="Times New Roman" w:hAnsi="Times New Roman" w:cs="Times New Roman"/>
          <w:sz w:val="24"/>
          <w:szCs w:val="24"/>
        </w:rPr>
        <w:t xml:space="preserve">  Children are either included on their parent’</w:t>
      </w:r>
      <w:r w:rsidR="00FF4B14">
        <w:rPr>
          <w:rFonts w:ascii="Times New Roman" w:eastAsia="Times New Roman" w:hAnsi="Times New Roman" w:cs="Times New Roman"/>
          <w:sz w:val="24"/>
          <w:szCs w:val="24"/>
        </w:rPr>
        <w:t xml:space="preserve">s petition </w:t>
      </w:r>
      <w:r w:rsidR="00255E15">
        <w:rPr>
          <w:rFonts w:ascii="Times New Roman" w:eastAsia="Times New Roman" w:hAnsi="Times New Roman" w:cs="Times New Roman"/>
          <w:sz w:val="24"/>
          <w:szCs w:val="24"/>
        </w:rPr>
        <w:t>or must file a separate petition if they gained their residence prior to their parent</w:t>
      </w:r>
      <w:r w:rsidR="00FF4B14">
        <w:rPr>
          <w:rFonts w:ascii="Times New Roman" w:eastAsia="Times New Roman" w:hAnsi="Times New Roman" w:cs="Times New Roman"/>
          <w:sz w:val="24"/>
          <w:szCs w:val="24"/>
        </w:rPr>
        <w:t>, more than 90 days after their parent</w:t>
      </w:r>
      <w:r w:rsidR="00255E15">
        <w:rPr>
          <w:rFonts w:ascii="Times New Roman" w:eastAsia="Times New Roman" w:hAnsi="Times New Roman" w:cs="Times New Roman"/>
          <w:sz w:val="24"/>
          <w:szCs w:val="24"/>
        </w:rPr>
        <w:t xml:space="preserve"> or their parent is for some reason not submitting a petition to remove the conditions on their status.  It is very important to keep track of children’s CR expira</w:t>
      </w:r>
      <w:r w:rsidR="00A31DF8">
        <w:rPr>
          <w:rFonts w:ascii="Times New Roman" w:eastAsia="Times New Roman" w:hAnsi="Times New Roman" w:cs="Times New Roman"/>
          <w:sz w:val="24"/>
          <w:szCs w:val="24"/>
        </w:rPr>
        <w:t>tion dates to make sure they should</w:t>
      </w:r>
      <w:r w:rsidR="00255E15">
        <w:rPr>
          <w:rFonts w:ascii="Times New Roman" w:eastAsia="Times New Roman" w:hAnsi="Times New Roman" w:cs="Times New Roman"/>
          <w:sz w:val="24"/>
          <w:szCs w:val="24"/>
        </w:rPr>
        <w:t xml:space="preserve"> be included with a parent’s petition</w:t>
      </w:r>
      <w:r w:rsidR="00FA5036">
        <w:rPr>
          <w:rFonts w:ascii="Times New Roman" w:eastAsia="Times New Roman" w:hAnsi="Times New Roman" w:cs="Times New Roman"/>
          <w:sz w:val="24"/>
          <w:szCs w:val="24"/>
        </w:rPr>
        <w:t xml:space="preserve"> or should be filed early</w:t>
      </w:r>
      <w:r w:rsidR="00255E15">
        <w:rPr>
          <w:rFonts w:ascii="Times New Roman" w:eastAsia="Times New Roman" w:hAnsi="Times New Roman" w:cs="Times New Roman"/>
          <w:sz w:val="24"/>
          <w:szCs w:val="24"/>
        </w:rPr>
        <w:t>.</w:t>
      </w:r>
      <w:r w:rsidR="00A31DF8">
        <w:rPr>
          <w:rFonts w:ascii="Times New Roman" w:eastAsia="Times New Roman" w:hAnsi="Times New Roman" w:cs="Times New Roman"/>
          <w:sz w:val="24"/>
          <w:szCs w:val="24"/>
        </w:rPr>
        <w:t xml:space="preserve">  Occasionally a child will be granted status prior to the noncitizen parent; e.g. </w:t>
      </w:r>
      <w:r w:rsidR="00C11A8C">
        <w:rPr>
          <w:rFonts w:ascii="Times New Roman" w:eastAsia="Times New Roman" w:hAnsi="Times New Roman" w:cs="Times New Roman"/>
          <w:sz w:val="24"/>
          <w:szCs w:val="24"/>
        </w:rPr>
        <w:t xml:space="preserve">when </w:t>
      </w:r>
      <w:r w:rsidR="00A31DF8">
        <w:rPr>
          <w:rFonts w:ascii="Times New Roman" w:eastAsia="Times New Roman" w:hAnsi="Times New Roman" w:cs="Times New Roman"/>
          <w:sz w:val="24"/>
          <w:szCs w:val="24"/>
        </w:rPr>
        <w:t xml:space="preserve">the parent is in removal proceedings and the child is not, the child attends a consular appointment while parent is waiting for I-601A processing, a parent is not eligible for a waiver and foregoes obtaining </w:t>
      </w:r>
      <w:r w:rsidR="00863EBA">
        <w:rPr>
          <w:rFonts w:ascii="Times New Roman" w:eastAsia="Times New Roman" w:hAnsi="Times New Roman" w:cs="Times New Roman"/>
          <w:sz w:val="24"/>
          <w:szCs w:val="24"/>
        </w:rPr>
        <w:t>residence,</w:t>
      </w:r>
      <w:r w:rsidR="00C11A8C">
        <w:rPr>
          <w:rFonts w:ascii="Times New Roman" w:eastAsia="Times New Roman" w:hAnsi="Times New Roman" w:cs="Times New Roman"/>
          <w:sz w:val="24"/>
          <w:szCs w:val="24"/>
        </w:rPr>
        <w:t xml:space="preserve"> etc. </w:t>
      </w:r>
      <w:r w:rsidR="00C96141">
        <w:rPr>
          <w:rFonts w:ascii="Times New Roman" w:eastAsia="Times New Roman" w:hAnsi="Times New Roman" w:cs="Times New Roman"/>
          <w:sz w:val="24"/>
          <w:szCs w:val="24"/>
        </w:rPr>
        <w:t xml:space="preserve"> The regulations relating to the removal of conditional resident status </w:t>
      </w:r>
      <w:r w:rsidR="0083157A">
        <w:rPr>
          <w:rFonts w:ascii="Times New Roman" w:eastAsia="Times New Roman" w:hAnsi="Times New Roman" w:cs="Times New Roman"/>
          <w:sz w:val="24"/>
          <w:szCs w:val="24"/>
        </w:rPr>
        <w:t xml:space="preserve">based on marriage </w:t>
      </w:r>
      <w:bookmarkStart w:id="0" w:name="_GoBack"/>
      <w:bookmarkEnd w:id="0"/>
      <w:r w:rsidR="00C96141">
        <w:rPr>
          <w:rFonts w:ascii="Times New Roman" w:eastAsia="Times New Roman" w:hAnsi="Times New Roman" w:cs="Times New Roman"/>
          <w:sz w:val="24"/>
          <w:szCs w:val="24"/>
        </w:rPr>
        <w:t>are found at 8 CFR 216.4 and 216.5.</w:t>
      </w:r>
    </w:p>
    <w:p w:rsidR="00A31DF8" w:rsidRDefault="00A31DF8" w:rsidP="00255E15">
      <w:pPr>
        <w:spacing w:after="0"/>
        <w:jc w:val="both"/>
        <w:rPr>
          <w:rFonts w:ascii="Times New Roman" w:eastAsia="Times New Roman" w:hAnsi="Times New Roman" w:cs="Times New Roman"/>
          <w:sz w:val="24"/>
          <w:szCs w:val="24"/>
        </w:rPr>
      </w:pPr>
    </w:p>
    <w:p w:rsidR="00A31DF8" w:rsidRPr="00A31DF8" w:rsidRDefault="00A31DF8" w:rsidP="00255E15">
      <w:pPr>
        <w:spacing w:after="0"/>
        <w:jc w:val="both"/>
        <w:rPr>
          <w:rFonts w:ascii="Times New Roman" w:eastAsia="Times New Roman" w:hAnsi="Times New Roman" w:cs="Times New Roman"/>
          <w:b/>
          <w:sz w:val="24"/>
          <w:szCs w:val="24"/>
        </w:rPr>
      </w:pPr>
      <w:r w:rsidRPr="00A31DF8">
        <w:rPr>
          <w:rFonts w:ascii="Times New Roman" w:eastAsia="Times New Roman" w:hAnsi="Times New Roman" w:cs="Times New Roman"/>
          <w:b/>
          <w:sz w:val="24"/>
          <w:szCs w:val="24"/>
        </w:rPr>
        <w:t>JOINT FILING</w:t>
      </w:r>
    </w:p>
    <w:p w:rsidR="00A31DF8" w:rsidRDefault="00A31DF8" w:rsidP="00255E15">
      <w:pPr>
        <w:spacing w:after="0"/>
        <w:jc w:val="both"/>
        <w:rPr>
          <w:rFonts w:ascii="Times New Roman" w:eastAsia="Times New Roman" w:hAnsi="Times New Roman" w:cs="Times New Roman"/>
          <w:sz w:val="24"/>
          <w:szCs w:val="24"/>
        </w:rPr>
      </w:pPr>
    </w:p>
    <w:p w:rsidR="00255E15" w:rsidRDefault="002F3E5D" w:rsidP="00255E15">
      <w:pPr>
        <w:spacing w:after="0"/>
        <w:jc w:val="both"/>
        <w:rPr>
          <w:rFonts w:ascii="Times New Roman" w:eastAsia="MS Mincho" w:hAnsi="Times New Roman" w:cs="Times New Roman"/>
          <w:sz w:val="24"/>
          <w:szCs w:val="24"/>
        </w:rPr>
      </w:pPr>
      <w:r>
        <w:rPr>
          <w:rFonts w:ascii="Times New Roman" w:eastAsia="Times New Roman" w:hAnsi="Times New Roman" w:cs="Times New Roman"/>
          <w:sz w:val="24"/>
          <w:szCs w:val="24"/>
        </w:rPr>
        <w:t xml:space="preserve">A conditional resident (CR) </w:t>
      </w:r>
      <w:r w:rsidR="00255E15" w:rsidRPr="00255E15">
        <w:rPr>
          <w:rFonts w:ascii="Times New Roman" w:eastAsia="Times New Roman" w:hAnsi="Times New Roman" w:cs="Times New Roman"/>
          <w:sz w:val="24"/>
          <w:szCs w:val="24"/>
        </w:rPr>
        <w:t>remove</w:t>
      </w:r>
      <w:r>
        <w:rPr>
          <w:rFonts w:ascii="Times New Roman" w:eastAsia="Times New Roman" w:hAnsi="Times New Roman" w:cs="Times New Roman"/>
          <w:sz w:val="24"/>
          <w:szCs w:val="24"/>
        </w:rPr>
        <w:t>s</w:t>
      </w:r>
      <w:r w:rsidR="00255E15" w:rsidRPr="00255E15">
        <w:rPr>
          <w:rFonts w:ascii="Times New Roman" w:eastAsia="Times New Roman" w:hAnsi="Times New Roman" w:cs="Times New Roman"/>
          <w:sz w:val="24"/>
          <w:szCs w:val="24"/>
        </w:rPr>
        <w:t xml:space="preserve"> the condition on permanent residence by jointly filing a petition (Form I-751) with the U.S. citizen spouse within a 90-day period prior to the expiration of the second-year anniversary of the grant of conditional residence.</w:t>
      </w:r>
      <w:r w:rsidR="00FA5036">
        <w:rPr>
          <w:rStyle w:val="FootnoteReference"/>
          <w:rFonts w:eastAsia="Times New Roman" w:cs="Times New Roman"/>
          <w:szCs w:val="24"/>
        </w:rPr>
        <w:footnoteReference w:id="2"/>
      </w:r>
      <w:r w:rsidR="00255E15" w:rsidRPr="00255E15">
        <w:rPr>
          <w:rFonts w:ascii="Times New Roman" w:eastAsia="MS Mincho" w:hAnsi="Times New Roman" w:cs="Times New Roman"/>
          <w:sz w:val="24"/>
          <w:szCs w:val="24"/>
        </w:rPr>
        <w:t xml:space="preserve"> </w:t>
      </w:r>
      <w:r w:rsidR="00FE6EF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It is important to note that the petition must be filed no later than the day before the CR status expires</w:t>
      </w:r>
      <w:r w:rsidR="00FF4B14">
        <w:rPr>
          <w:rFonts w:ascii="Times New Roman" w:eastAsia="MS Mincho" w:hAnsi="Times New Roman" w:cs="Times New Roman"/>
          <w:sz w:val="24"/>
          <w:szCs w:val="24"/>
        </w:rPr>
        <w:t>.</w:t>
      </w:r>
      <w:r w:rsidR="00FE6EFF">
        <w:rPr>
          <w:rStyle w:val="FootnoteReference"/>
          <w:rFonts w:eastAsia="MS Mincho" w:cs="Times New Roman"/>
          <w:szCs w:val="24"/>
        </w:rPr>
        <w:footnoteReference w:id="3"/>
      </w:r>
      <w:r w:rsidR="00FE6EFF">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 xml:space="preserve"> </w:t>
      </w:r>
      <w:r w:rsidR="00255E15" w:rsidRPr="00255E15">
        <w:rPr>
          <w:rFonts w:ascii="Times New Roman" w:eastAsia="MS Mincho" w:hAnsi="Times New Roman" w:cs="Times New Roman"/>
          <w:sz w:val="24"/>
          <w:szCs w:val="24"/>
        </w:rPr>
        <w:t>Th</w:t>
      </w:r>
      <w:r>
        <w:rPr>
          <w:rFonts w:ascii="Times New Roman" w:eastAsia="MS Mincho" w:hAnsi="Times New Roman" w:cs="Times New Roman"/>
          <w:sz w:val="24"/>
          <w:szCs w:val="24"/>
        </w:rPr>
        <w:t xml:space="preserve">e joint applicants must </w:t>
      </w:r>
      <w:r w:rsidR="00255E15" w:rsidRPr="00255E15">
        <w:rPr>
          <w:rFonts w:ascii="Times New Roman" w:eastAsia="MS Mincho" w:hAnsi="Times New Roman" w:cs="Times New Roman"/>
          <w:sz w:val="24"/>
          <w:szCs w:val="24"/>
        </w:rPr>
        <w:t xml:space="preserve">establish, </w:t>
      </w:r>
      <w:r w:rsidR="00255E15" w:rsidRPr="00255E15">
        <w:rPr>
          <w:rFonts w:ascii="Times New Roman" w:eastAsia="MS Mincho" w:hAnsi="Times New Roman" w:cs="Times New Roman"/>
          <w:i/>
          <w:iCs/>
          <w:sz w:val="24"/>
          <w:szCs w:val="24"/>
        </w:rPr>
        <w:t>inter alia</w:t>
      </w:r>
      <w:r w:rsidR="00255E15" w:rsidRPr="00255E15">
        <w:rPr>
          <w:rFonts w:ascii="Times New Roman" w:eastAsia="MS Mincho" w:hAnsi="Times New Roman" w:cs="Times New Roman"/>
          <w:sz w:val="24"/>
          <w:szCs w:val="24"/>
        </w:rPr>
        <w:t>, that the qualifying marriage was entered into legally; has not been judicially annulled or terminated, other than through death of a spouse; was not entered into for the purpose of procuring the noncitizen’s entry as an immigrant; and that no fee was paid (other than to an attorney). The petition must be accompanied by evidence of a valid marriage.</w:t>
      </w:r>
      <w:r w:rsidR="00FF4B14">
        <w:rPr>
          <w:rFonts w:ascii="Times New Roman" w:eastAsia="MS Mincho" w:hAnsi="Times New Roman" w:cs="Times New Roman"/>
          <w:sz w:val="24"/>
          <w:szCs w:val="24"/>
        </w:rPr>
        <w:t xml:space="preserve">  If a </w:t>
      </w:r>
      <w:r w:rsidR="00FF4B14">
        <w:rPr>
          <w:rFonts w:ascii="Times New Roman" w:eastAsia="MS Mincho" w:hAnsi="Times New Roman" w:cs="Times New Roman"/>
          <w:sz w:val="24"/>
          <w:szCs w:val="24"/>
        </w:rPr>
        <w:lastRenderedPageBreak/>
        <w:t>child is filing their</w:t>
      </w:r>
      <w:r>
        <w:rPr>
          <w:rFonts w:ascii="Times New Roman" w:eastAsia="MS Mincho" w:hAnsi="Times New Roman" w:cs="Times New Roman"/>
          <w:sz w:val="24"/>
          <w:szCs w:val="24"/>
        </w:rPr>
        <w:t xml:space="preserve"> own petition the same requirements must be met.</w:t>
      </w:r>
      <w:r w:rsidR="00A31DF8">
        <w:rPr>
          <w:rFonts w:ascii="Times New Roman" w:eastAsia="MS Mincho" w:hAnsi="Times New Roman" w:cs="Times New Roman"/>
          <w:sz w:val="24"/>
          <w:szCs w:val="24"/>
        </w:rPr>
        <w:t xml:space="preserve">  The U.S. citizen</w:t>
      </w:r>
      <w:r w:rsidR="00FE6EFF">
        <w:rPr>
          <w:rFonts w:ascii="Times New Roman" w:eastAsia="MS Mincho" w:hAnsi="Times New Roman" w:cs="Times New Roman"/>
          <w:sz w:val="24"/>
          <w:szCs w:val="24"/>
        </w:rPr>
        <w:t>/resident</w:t>
      </w:r>
      <w:r w:rsidR="00A31DF8">
        <w:rPr>
          <w:rFonts w:ascii="Times New Roman" w:eastAsia="MS Mincho" w:hAnsi="Times New Roman" w:cs="Times New Roman"/>
          <w:sz w:val="24"/>
          <w:szCs w:val="24"/>
        </w:rPr>
        <w:t xml:space="preserve"> relative (step-parent) must sign the petition.</w:t>
      </w:r>
    </w:p>
    <w:p w:rsidR="002F3E5D" w:rsidRDefault="002F3E5D" w:rsidP="00255E15">
      <w:pPr>
        <w:spacing w:after="0"/>
        <w:jc w:val="both"/>
        <w:rPr>
          <w:rFonts w:ascii="Times New Roman" w:eastAsia="MS Mincho" w:hAnsi="Times New Roman" w:cs="Times New Roman"/>
          <w:sz w:val="24"/>
          <w:szCs w:val="24"/>
        </w:rPr>
      </w:pPr>
    </w:p>
    <w:p w:rsidR="00C34C25" w:rsidRPr="00C34C25" w:rsidRDefault="002F3E5D" w:rsidP="00C34C25">
      <w:pPr>
        <w:pStyle w:val="NormalWeb"/>
        <w:spacing w:after="0"/>
        <w:jc w:val="both"/>
        <w:rPr>
          <w:rFonts w:eastAsia="MS Mincho"/>
        </w:rPr>
      </w:pPr>
      <w:r w:rsidRPr="002F3E5D">
        <w:rPr>
          <w:rFonts w:eastAsia="MS Mincho"/>
        </w:rPr>
        <w:t>The petition is filed by mail at the USCIS Service Center with jurisdiction over the a</w:t>
      </w:r>
      <w:r w:rsidR="00FE6EFF">
        <w:rPr>
          <w:rFonts w:eastAsia="MS Mincho"/>
        </w:rPr>
        <w:t xml:space="preserve">pplicants’ place of residence.  </w:t>
      </w:r>
      <w:r w:rsidRPr="002F3E5D">
        <w:rPr>
          <w:rFonts w:eastAsia="MS Mincho"/>
        </w:rPr>
        <w:t>After receipt</w:t>
      </w:r>
      <w:r>
        <w:rPr>
          <w:rFonts w:eastAsia="MS Mincho"/>
        </w:rPr>
        <w:t xml:space="preserve"> </w:t>
      </w:r>
      <w:r w:rsidRPr="002F3E5D">
        <w:rPr>
          <w:rFonts w:eastAsia="MS Mincho"/>
        </w:rPr>
        <w:t>USCIS will is</w:t>
      </w:r>
      <w:r w:rsidR="00FE6EFF">
        <w:rPr>
          <w:rFonts w:eastAsia="MS Mincho"/>
        </w:rPr>
        <w:t>sue a receipt</w:t>
      </w:r>
      <w:r w:rsidRPr="002F3E5D">
        <w:rPr>
          <w:rFonts w:eastAsia="MS Mincho"/>
        </w:rPr>
        <w:t xml:space="preserve"> and schedule the noncitizen spouse </w:t>
      </w:r>
      <w:r>
        <w:rPr>
          <w:rFonts w:eastAsia="MS Mincho"/>
        </w:rPr>
        <w:t xml:space="preserve">(and children) </w:t>
      </w:r>
      <w:r w:rsidRPr="002F3E5D">
        <w:rPr>
          <w:rFonts w:eastAsia="MS Mincho"/>
        </w:rPr>
        <w:t xml:space="preserve">for biometrics collection at an Application Support Center near the applicants’ residence.  </w:t>
      </w:r>
      <w:r>
        <w:rPr>
          <w:rFonts w:eastAsia="MS Mincho"/>
        </w:rPr>
        <w:t>It is important to include additional G-28 forms for each child included in the application</w:t>
      </w:r>
      <w:r w:rsidR="00C34C25">
        <w:rPr>
          <w:rFonts w:eastAsia="MS Mincho"/>
        </w:rPr>
        <w:t xml:space="preserve">.  </w:t>
      </w:r>
      <w:r>
        <w:rPr>
          <w:rFonts w:eastAsia="MS Mincho"/>
        </w:rPr>
        <w:t xml:space="preserve">USCIS will </w:t>
      </w:r>
      <w:r w:rsidR="00C34C25">
        <w:rPr>
          <w:rFonts w:eastAsia="MS Mincho"/>
        </w:rPr>
        <w:t xml:space="preserve">then </w:t>
      </w:r>
      <w:r>
        <w:rPr>
          <w:rFonts w:eastAsia="MS Mincho"/>
        </w:rPr>
        <w:t xml:space="preserve">correspond with the attorney with the child’s filing receipt and biometrics interview. </w:t>
      </w:r>
      <w:r w:rsidR="00FE6EFF">
        <w:rPr>
          <w:rFonts w:eastAsia="MS Mincho"/>
        </w:rPr>
        <w:t xml:space="preserve">If not included all correspondence about the child will only go to the petitioning parent(s).  </w:t>
      </w:r>
      <w:r w:rsidR="00C34C25" w:rsidRPr="00C34C25">
        <w:rPr>
          <w:rFonts w:eastAsia="MS Mincho"/>
        </w:rPr>
        <w:t>A timely filed joint petition automatically extends the noncitizen’s status until the I-751 is adjudicated.  The receipt notice for the I-751 includes language extending the permanent resident status for an additional year and may be used as evidence of status.</w:t>
      </w:r>
    </w:p>
    <w:p w:rsidR="00C34C25" w:rsidRPr="00C34C25" w:rsidRDefault="00C34C25" w:rsidP="00C34C25">
      <w:pPr>
        <w:spacing w:after="0" w:line="240" w:lineRule="auto"/>
        <w:jc w:val="both"/>
        <w:rPr>
          <w:rFonts w:ascii="Times New Roman" w:eastAsia="MS Mincho" w:hAnsi="Times New Roman" w:cs="Times New Roman"/>
          <w:sz w:val="24"/>
          <w:szCs w:val="24"/>
        </w:rPr>
      </w:pPr>
    </w:p>
    <w:p w:rsidR="00C34C25" w:rsidRPr="00C34C25" w:rsidRDefault="00C34C25" w:rsidP="00FE4F87">
      <w:pPr>
        <w:widowControl w:val="0"/>
        <w:autoSpaceDE w:val="0"/>
        <w:autoSpaceDN w:val="0"/>
        <w:adjustRightInd w:val="0"/>
        <w:spacing w:after="0"/>
        <w:jc w:val="both"/>
        <w:rPr>
          <w:rFonts w:ascii="Times New Roman" w:eastAsia="MS Mincho" w:hAnsi="Times New Roman" w:cs="Times New Roman"/>
          <w:sz w:val="24"/>
          <w:szCs w:val="24"/>
        </w:rPr>
      </w:pPr>
      <w:r w:rsidRPr="00C34C25">
        <w:rPr>
          <w:rFonts w:ascii="Times New Roman" w:eastAsia="MS Mincho" w:hAnsi="Times New Roman" w:cs="Times New Roman"/>
          <w:sz w:val="24"/>
          <w:szCs w:val="24"/>
        </w:rPr>
        <w:t>If the petition is not filed in the 90-day window, the petitioners must establish “good cause and extenuating circumstances” for the late filing.</w:t>
      </w:r>
      <w:r w:rsidR="00FE6EFF">
        <w:rPr>
          <w:rStyle w:val="FootnoteReference"/>
          <w:rFonts w:eastAsia="MS Mincho" w:cs="Times New Roman"/>
          <w:szCs w:val="24"/>
        </w:rPr>
        <w:footnoteReference w:id="4"/>
      </w:r>
      <w:r w:rsidRPr="00C34C25">
        <w:rPr>
          <w:rFonts w:ascii="Times New Roman" w:eastAsia="MS Mincho" w:hAnsi="Times New Roman" w:cs="Times New Roman"/>
          <w:sz w:val="24"/>
          <w:szCs w:val="24"/>
        </w:rPr>
        <w:t xml:space="preserve"> The late-filed I-751 petition must be accompanied by a written explanation for the delay, and the application may be denied for failure to include such an explanation. Examples of good cause and extenuating circumstances include, but are not limited to, hospitalization, long-term illness, death of a family member, recent birth of a child, or a family member on active duty with the U.S. military. </w:t>
      </w:r>
      <w:r w:rsidR="00FE4F87">
        <w:rPr>
          <w:rFonts w:ascii="Times New Roman" w:eastAsia="MS Mincho" w:hAnsi="Times New Roman" w:cs="Times New Roman"/>
          <w:sz w:val="24"/>
          <w:szCs w:val="24"/>
        </w:rPr>
        <w:t xml:space="preserve"> Issuance of a receipt for the filing is proof of the acceptance of the reason for the late-filing and will not be examined further.  </w:t>
      </w:r>
      <w:r w:rsidRPr="00C34C25">
        <w:rPr>
          <w:rFonts w:ascii="Times New Roman" w:eastAsia="MS Mincho" w:hAnsi="Times New Roman" w:cs="Times New Roman"/>
          <w:sz w:val="24"/>
          <w:szCs w:val="24"/>
        </w:rPr>
        <w:t>Failure to file a petition within the 90-day period results in automatic termination of conditional resident status</w:t>
      </w:r>
      <w:r w:rsidR="00FE4F87">
        <w:rPr>
          <w:rFonts w:ascii="Times New Roman" w:eastAsia="MS Mincho" w:hAnsi="Times New Roman" w:cs="Times New Roman"/>
          <w:sz w:val="24"/>
          <w:szCs w:val="24"/>
        </w:rPr>
        <w:t xml:space="preserve"> though</w:t>
      </w:r>
      <w:r w:rsidRPr="00C34C25">
        <w:rPr>
          <w:rFonts w:ascii="Times New Roman" w:eastAsia="MS Mincho" w:hAnsi="Times New Roman" w:cs="Times New Roman"/>
          <w:sz w:val="24"/>
          <w:szCs w:val="24"/>
        </w:rPr>
        <w:t xml:space="preserve">. Unlike the jointly filed petition, a waiver petition can be filed before, during, or after </w:t>
      </w:r>
      <w:r>
        <w:rPr>
          <w:rFonts w:ascii="Times New Roman" w:eastAsia="MS Mincho" w:hAnsi="Times New Roman" w:cs="Times New Roman"/>
          <w:sz w:val="24"/>
          <w:szCs w:val="24"/>
        </w:rPr>
        <w:t xml:space="preserve">the </w:t>
      </w:r>
      <w:r w:rsidRPr="00C34C25">
        <w:rPr>
          <w:rFonts w:ascii="Times New Roman" w:eastAsia="MS Mincho" w:hAnsi="Times New Roman" w:cs="Times New Roman"/>
          <w:sz w:val="24"/>
          <w:szCs w:val="24"/>
        </w:rPr>
        <w:t>90-day period.</w:t>
      </w:r>
    </w:p>
    <w:p w:rsidR="00C34C25" w:rsidRDefault="00C34C25" w:rsidP="00255E15">
      <w:pPr>
        <w:spacing w:after="0"/>
        <w:jc w:val="both"/>
        <w:rPr>
          <w:rFonts w:ascii="Times New Roman" w:eastAsia="MS Mincho" w:hAnsi="Times New Roman" w:cs="Times New Roman"/>
          <w:sz w:val="24"/>
          <w:szCs w:val="24"/>
        </w:rPr>
      </w:pPr>
    </w:p>
    <w:p w:rsidR="002F3E5D" w:rsidRDefault="002F3E5D" w:rsidP="00255E15">
      <w:pPr>
        <w:spacing w:after="0"/>
        <w:jc w:val="both"/>
        <w:rPr>
          <w:rFonts w:ascii="Times New Roman" w:eastAsia="MS Mincho" w:hAnsi="Times New Roman" w:cs="Times New Roman"/>
          <w:sz w:val="24"/>
          <w:szCs w:val="24"/>
        </w:rPr>
      </w:pPr>
      <w:r w:rsidRPr="002F3E5D">
        <w:rPr>
          <w:rFonts w:ascii="Times New Roman" w:eastAsia="MS Mincho" w:hAnsi="Times New Roman" w:cs="Times New Roman"/>
          <w:sz w:val="24"/>
          <w:szCs w:val="24"/>
        </w:rPr>
        <w:t xml:space="preserve">In some cases, particularly where the application was filed on time and the bona fides of the marriage are clear from the evidence submitted, the </w:t>
      </w:r>
      <w:r>
        <w:rPr>
          <w:rFonts w:ascii="Times New Roman" w:eastAsia="MS Mincho" w:hAnsi="Times New Roman" w:cs="Times New Roman"/>
          <w:sz w:val="24"/>
          <w:szCs w:val="24"/>
        </w:rPr>
        <w:t xml:space="preserve">adjudication will take place without an interview.  </w:t>
      </w:r>
      <w:r w:rsidRPr="002F3E5D">
        <w:rPr>
          <w:rFonts w:ascii="Times New Roman" w:eastAsia="MS Mincho" w:hAnsi="Times New Roman" w:cs="Times New Roman"/>
          <w:sz w:val="24"/>
          <w:szCs w:val="24"/>
        </w:rPr>
        <w:t xml:space="preserve">However, in many cases—either due to an issue arising out of the paper submission or as a result of a random selection-- the joint applicants are </w:t>
      </w:r>
      <w:r>
        <w:rPr>
          <w:rFonts w:ascii="Times New Roman" w:eastAsia="MS Mincho" w:hAnsi="Times New Roman" w:cs="Times New Roman"/>
          <w:sz w:val="24"/>
          <w:szCs w:val="24"/>
        </w:rPr>
        <w:t>required to attend an</w:t>
      </w:r>
      <w:r w:rsidRPr="002F3E5D">
        <w:rPr>
          <w:rFonts w:ascii="Times New Roman" w:eastAsia="MS Mincho" w:hAnsi="Times New Roman" w:cs="Times New Roman"/>
          <w:sz w:val="24"/>
          <w:szCs w:val="24"/>
        </w:rPr>
        <w:t xml:space="preserve"> interview at </w:t>
      </w:r>
      <w:r w:rsidR="00C34C25">
        <w:rPr>
          <w:rFonts w:ascii="Times New Roman" w:eastAsia="MS Mincho" w:hAnsi="Times New Roman" w:cs="Times New Roman"/>
          <w:sz w:val="24"/>
          <w:szCs w:val="24"/>
        </w:rPr>
        <w:t xml:space="preserve">the </w:t>
      </w:r>
      <w:r w:rsidRPr="002F3E5D">
        <w:rPr>
          <w:rFonts w:ascii="Times New Roman" w:eastAsia="MS Mincho" w:hAnsi="Times New Roman" w:cs="Times New Roman"/>
          <w:sz w:val="24"/>
          <w:szCs w:val="24"/>
        </w:rPr>
        <w:t xml:space="preserve">District Office, and the </w:t>
      </w:r>
      <w:r>
        <w:rPr>
          <w:rFonts w:ascii="Times New Roman" w:eastAsia="MS Mincho" w:hAnsi="Times New Roman" w:cs="Times New Roman"/>
          <w:sz w:val="24"/>
          <w:szCs w:val="24"/>
        </w:rPr>
        <w:t>adjudication completed after the interview</w:t>
      </w:r>
      <w:r w:rsidRPr="002F3E5D">
        <w:rPr>
          <w:rFonts w:ascii="Times New Roman" w:eastAsia="MS Mincho" w:hAnsi="Times New Roman" w:cs="Times New Roman"/>
          <w:sz w:val="24"/>
          <w:szCs w:val="24"/>
        </w:rPr>
        <w:t>.</w:t>
      </w:r>
    </w:p>
    <w:p w:rsidR="00C34C25" w:rsidRDefault="00C34C25" w:rsidP="00143700">
      <w:pPr>
        <w:spacing w:after="0"/>
        <w:jc w:val="both"/>
        <w:rPr>
          <w:rFonts w:ascii="Times New Roman" w:eastAsia="MS Mincho" w:hAnsi="Times New Roman" w:cs="Times New Roman"/>
          <w:sz w:val="24"/>
          <w:szCs w:val="24"/>
        </w:rPr>
      </w:pPr>
    </w:p>
    <w:p w:rsidR="00031C4C" w:rsidRDefault="00031C4C" w:rsidP="00143700">
      <w:pPr>
        <w:spacing w:after="0"/>
        <w:rPr>
          <w:rFonts w:ascii="Times New Roman" w:eastAsia="MS Mincho" w:hAnsi="Times New Roman" w:cs="Times New Roman"/>
          <w:b/>
          <w:sz w:val="24"/>
          <w:szCs w:val="24"/>
        </w:rPr>
      </w:pPr>
    </w:p>
    <w:p w:rsidR="00031C4C" w:rsidRDefault="00031C4C" w:rsidP="00143700">
      <w:pPr>
        <w:spacing w:after="0"/>
        <w:rPr>
          <w:rFonts w:ascii="Times New Roman" w:eastAsia="MS Mincho" w:hAnsi="Times New Roman" w:cs="Times New Roman"/>
          <w:b/>
          <w:sz w:val="24"/>
          <w:szCs w:val="24"/>
        </w:rPr>
      </w:pPr>
    </w:p>
    <w:p w:rsidR="00A31DF8" w:rsidRPr="00A31DF8" w:rsidRDefault="00A31DF8" w:rsidP="00143700">
      <w:pPr>
        <w:spacing w:after="0"/>
        <w:rPr>
          <w:rFonts w:ascii="Times New Roman" w:eastAsia="MS Mincho" w:hAnsi="Times New Roman" w:cs="Times New Roman"/>
          <w:b/>
          <w:sz w:val="24"/>
          <w:szCs w:val="24"/>
        </w:rPr>
      </w:pPr>
      <w:r w:rsidRPr="00A31DF8">
        <w:rPr>
          <w:rFonts w:ascii="Times New Roman" w:eastAsia="MS Mincho" w:hAnsi="Times New Roman" w:cs="Times New Roman"/>
          <w:b/>
          <w:sz w:val="24"/>
          <w:szCs w:val="24"/>
        </w:rPr>
        <w:t>WAIVERS OF JOINT FILING REQUIREMENT</w:t>
      </w:r>
    </w:p>
    <w:p w:rsidR="00A31DF8" w:rsidRPr="00A31DF8" w:rsidRDefault="00A31DF8" w:rsidP="00143700">
      <w:pPr>
        <w:spacing w:after="0"/>
        <w:rPr>
          <w:rFonts w:ascii="Times New Roman" w:eastAsia="MS Mincho" w:hAnsi="Times New Roman" w:cs="Times New Roman"/>
          <w:sz w:val="24"/>
          <w:szCs w:val="24"/>
        </w:rPr>
      </w:pPr>
    </w:p>
    <w:p w:rsidR="00A31DF8" w:rsidRPr="00A31DF8" w:rsidRDefault="00A31DF8" w:rsidP="00143700">
      <w:pPr>
        <w:spacing w:after="0"/>
        <w:jc w:val="both"/>
        <w:rPr>
          <w:rFonts w:ascii="Times New Roman" w:eastAsia="MS Mincho" w:hAnsi="Times New Roman" w:cs="Times New Roman"/>
          <w:sz w:val="20"/>
          <w:szCs w:val="24"/>
          <w:vertAlign w:val="superscript"/>
        </w:rPr>
      </w:pPr>
      <w:r>
        <w:rPr>
          <w:rFonts w:ascii="Times New Roman" w:eastAsia="MS Mincho" w:hAnsi="Times New Roman" w:cs="Times New Roman"/>
          <w:sz w:val="24"/>
          <w:szCs w:val="24"/>
        </w:rPr>
        <w:t xml:space="preserve">If the </w:t>
      </w:r>
      <w:r w:rsidRPr="00A31DF8">
        <w:rPr>
          <w:rFonts w:ascii="Times New Roman" w:eastAsia="MS Mincho" w:hAnsi="Times New Roman" w:cs="Times New Roman"/>
          <w:sz w:val="24"/>
          <w:szCs w:val="24"/>
        </w:rPr>
        <w:t xml:space="preserve">spouse is unable to jointly file Form I-751, </w:t>
      </w:r>
      <w:r w:rsidR="00B06CF7">
        <w:rPr>
          <w:rFonts w:ascii="Times New Roman" w:eastAsia="MS Mincho" w:hAnsi="Times New Roman" w:cs="Times New Roman"/>
          <w:sz w:val="24"/>
          <w:szCs w:val="24"/>
        </w:rPr>
        <w:t>he/</w:t>
      </w:r>
      <w:r>
        <w:rPr>
          <w:rFonts w:ascii="Times New Roman" w:eastAsia="MS Mincho" w:hAnsi="Times New Roman" w:cs="Times New Roman"/>
          <w:sz w:val="24"/>
          <w:szCs w:val="24"/>
        </w:rPr>
        <w:t>s</w:t>
      </w:r>
      <w:r w:rsidRPr="00A31DF8">
        <w:rPr>
          <w:rFonts w:ascii="Times New Roman" w:eastAsia="MS Mincho" w:hAnsi="Times New Roman" w:cs="Times New Roman"/>
          <w:sz w:val="24"/>
          <w:szCs w:val="24"/>
        </w:rPr>
        <w:t xml:space="preserve">he may file for a waiver of the joint-filing requirement on Form I-751. </w:t>
      </w:r>
      <w:r>
        <w:rPr>
          <w:rFonts w:ascii="Times New Roman" w:eastAsia="MS Mincho" w:hAnsi="Times New Roman" w:cs="Times New Roman"/>
          <w:sz w:val="24"/>
          <w:szCs w:val="24"/>
        </w:rPr>
        <w:t xml:space="preserve">A child may also file a waiver or be included on their conditional </w:t>
      </w:r>
      <w:r>
        <w:rPr>
          <w:rFonts w:ascii="Times New Roman" w:eastAsia="MS Mincho" w:hAnsi="Times New Roman" w:cs="Times New Roman"/>
          <w:sz w:val="24"/>
          <w:szCs w:val="24"/>
        </w:rPr>
        <w:lastRenderedPageBreak/>
        <w:t xml:space="preserve">resident parent’s petition, if </w:t>
      </w:r>
      <w:r w:rsidR="00863EBA">
        <w:rPr>
          <w:rFonts w:ascii="Times New Roman" w:eastAsia="MS Mincho" w:hAnsi="Times New Roman" w:cs="Times New Roman"/>
          <w:sz w:val="24"/>
          <w:szCs w:val="24"/>
        </w:rPr>
        <w:t>they meet the requirements listed above.</w:t>
      </w:r>
      <w:r>
        <w:rPr>
          <w:rFonts w:ascii="Times New Roman" w:eastAsia="MS Mincho" w:hAnsi="Times New Roman" w:cs="Times New Roman"/>
          <w:sz w:val="24"/>
          <w:szCs w:val="24"/>
        </w:rPr>
        <w:t xml:space="preserve">  </w:t>
      </w:r>
      <w:r w:rsidRPr="00A31DF8">
        <w:rPr>
          <w:rFonts w:ascii="Times New Roman" w:eastAsia="MS Mincho" w:hAnsi="Times New Roman" w:cs="Times New Roman"/>
          <w:sz w:val="24"/>
          <w:szCs w:val="24"/>
        </w:rPr>
        <w:t xml:space="preserve">Three such waivers exist, and may be granted if the </w:t>
      </w:r>
      <w:r w:rsidR="00863EBA">
        <w:rPr>
          <w:rFonts w:ascii="Times New Roman" w:eastAsia="MS Mincho" w:hAnsi="Times New Roman" w:cs="Times New Roman"/>
          <w:sz w:val="24"/>
          <w:szCs w:val="24"/>
        </w:rPr>
        <w:t>CR</w:t>
      </w:r>
      <w:r w:rsidRPr="00A31DF8">
        <w:rPr>
          <w:rFonts w:ascii="Times New Roman" w:eastAsia="MS Mincho" w:hAnsi="Times New Roman" w:cs="Times New Roman"/>
          <w:sz w:val="24"/>
          <w:szCs w:val="24"/>
        </w:rPr>
        <w:t xml:space="preserve"> spouse </w:t>
      </w:r>
      <w:r w:rsidR="00B06CF7">
        <w:rPr>
          <w:rFonts w:ascii="Times New Roman" w:eastAsia="MS Mincho" w:hAnsi="Times New Roman" w:cs="Times New Roman"/>
          <w:sz w:val="24"/>
          <w:szCs w:val="24"/>
        </w:rPr>
        <w:t xml:space="preserve">(or child) </w:t>
      </w:r>
      <w:r w:rsidRPr="00A31DF8">
        <w:rPr>
          <w:rFonts w:ascii="Times New Roman" w:eastAsia="MS Mincho" w:hAnsi="Times New Roman" w:cs="Times New Roman"/>
          <w:sz w:val="24"/>
          <w:szCs w:val="24"/>
        </w:rPr>
        <w:t>can demonstrate any one of the following:</w:t>
      </w:r>
      <w:r w:rsidRPr="00A31DF8">
        <w:rPr>
          <w:rFonts w:ascii="Times New Roman" w:eastAsia="MS Mincho" w:hAnsi="Times New Roman" w:cs="Times New Roman"/>
          <w:sz w:val="24"/>
          <w:szCs w:val="24"/>
          <w:vertAlign w:val="superscript"/>
        </w:rPr>
        <w:t xml:space="preserve"> </w:t>
      </w:r>
      <w:r w:rsidR="00FE6EFF">
        <w:rPr>
          <w:rStyle w:val="FootnoteReference"/>
          <w:rFonts w:eastAsia="MS Mincho" w:cs="Times New Roman"/>
          <w:szCs w:val="24"/>
        </w:rPr>
        <w:footnoteReference w:id="5"/>
      </w:r>
    </w:p>
    <w:p w:rsidR="00A31DF8" w:rsidRPr="00A31DF8" w:rsidRDefault="00A31DF8" w:rsidP="00143700">
      <w:pPr>
        <w:spacing w:after="0"/>
        <w:jc w:val="both"/>
        <w:rPr>
          <w:rFonts w:ascii="Times New Roman" w:eastAsia="MS Mincho" w:hAnsi="Times New Roman" w:cs="Times New Roman"/>
          <w:sz w:val="24"/>
          <w:szCs w:val="24"/>
        </w:rPr>
      </w:pPr>
    </w:p>
    <w:p w:rsidR="00A31DF8" w:rsidRPr="00A31DF8" w:rsidRDefault="00A31DF8" w:rsidP="00143700">
      <w:pPr>
        <w:numPr>
          <w:ilvl w:val="0"/>
          <w:numId w:val="1"/>
        </w:numPr>
        <w:spacing w:after="0"/>
        <w:jc w:val="both"/>
        <w:rPr>
          <w:rFonts w:ascii="Times New Roman" w:eastAsia="MS Mincho" w:hAnsi="Times New Roman" w:cs="Times New Roman"/>
          <w:sz w:val="24"/>
          <w:szCs w:val="24"/>
        </w:rPr>
      </w:pPr>
      <w:r w:rsidRPr="00A31DF8">
        <w:rPr>
          <w:rFonts w:ascii="Times New Roman" w:eastAsia="MS Mincho" w:hAnsi="Times New Roman" w:cs="Times New Roman"/>
          <w:sz w:val="24"/>
          <w:szCs w:val="24"/>
        </w:rPr>
        <w:t>extreme hardship would result if the noncitizen spouse were to be removed;</w:t>
      </w:r>
    </w:p>
    <w:p w:rsidR="00A31DF8" w:rsidRPr="00A31DF8" w:rsidRDefault="00A31DF8" w:rsidP="00143700">
      <w:pPr>
        <w:numPr>
          <w:ilvl w:val="0"/>
          <w:numId w:val="1"/>
        </w:numPr>
        <w:spacing w:after="0"/>
        <w:jc w:val="both"/>
        <w:rPr>
          <w:rFonts w:ascii="Times New Roman" w:eastAsia="MS Mincho" w:hAnsi="Times New Roman" w:cs="Times New Roman"/>
          <w:sz w:val="24"/>
          <w:szCs w:val="24"/>
        </w:rPr>
      </w:pPr>
      <w:r w:rsidRPr="00A31DF8">
        <w:rPr>
          <w:rFonts w:ascii="Times New Roman" w:eastAsia="MS Mincho" w:hAnsi="Times New Roman" w:cs="Times New Roman"/>
          <w:sz w:val="24"/>
          <w:szCs w:val="24"/>
        </w:rPr>
        <w:t>the qualifying marriage was entered into in good faith by the noncitizen spouse, but the qualifying marriage has been terminated (other than through the death of the citizen</w:t>
      </w:r>
      <w:r w:rsidR="00863EBA">
        <w:rPr>
          <w:rFonts w:ascii="Times New Roman" w:eastAsia="MS Mincho" w:hAnsi="Times New Roman" w:cs="Times New Roman"/>
          <w:sz w:val="24"/>
          <w:szCs w:val="24"/>
        </w:rPr>
        <w:t>/resident</w:t>
      </w:r>
      <w:r w:rsidRPr="00A31DF8">
        <w:rPr>
          <w:rFonts w:ascii="Times New Roman" w:eastAsia="MS Mincho" w:hAnsi="Times New Roman" w:cs="Times New Roman"/>
          <w:sz w:val="24"/>
          <w:szCs w:val="24"/>
        </w:rPr>
        <w:t xml:space="preserve"> spouse); or </w:t>
      </w:r>
    </w:p>
    <w:p w:rsidR="00A31DF8" w:rsidRPr="00A31DF8" w:rsidRDefault="00A31DF8" w:rsidP="00143700">
      <w:pPr>
        <w:numPr>
          <w:ilvl w:val="0"/>
          <w:numId w:val="1"/>
        </w:numPr>
        <w:spacing w:after="0"/>
        <w:jc w:val="both"/>
        <w:rPr>
          <w:rFonts w:ascii="Times New Roman" w:eastAsia="MS Mincho" w:hAnsi="Times New Roman" w:cs="Times New Roman"/>
          <w:sz w:val="24"/>
          <w:szCs w:val="24"/>
        </w:rPr>
      </w:pPr>
      <w:r w:rsidRPr="00A31DF8">
        <w:rPr>
          <w:rFonts w:ascii="Times New Roman" w:eastAsia="MS Mincho" w:hAnsi="Times New Roman" w:cs="Times New Roman"/>
          <w:sz w:val="24"/>
          <w:szCs w:val="24"/>
        </w:rPr>
        <w:t xml:space="preserve">the marriage was entered into in good faith by the noncitizen spouse, but the noncitizen spouse </w:t>
      </w:r>
      <w:r w:rsidR="00B06CF7">
        <w:rPr>
          <w:rFonts w:ascii="Times New Roman" w:eastAsia="MS Mincho" w:hAnsi="Times New Roman" w:cs="Times New Roman"/>
          <w:sz w:val="24"/>
          <w:szCs w:val="24"/>
        </w:rPr>
        <w:t xml:space="preserve">or their child (either a step-child or natural child of the U.S. citizen) </w:t>
      </w:r>
      <w:r w:rsidRPr="00A31DF8">
        <w:rPr>
          <w:rFonts w:ascii="Times New Roman" w:eastAsia="MS Mincho" w:hAnsi="Times New Roman" w:cs="Times New Roman"/>
          <w:sz w:val="24"/>
          <w:szCs w:val="24"/>
        </w:rPr>
        <w:t>was abused or subjected to extreme cruelty during the marriage.</w:t>
      </w:r>
    </w:p>
    <w:p w:rsidR="00A31DF8" w:rsidRPr="00A31DF8" w:rsidRDefault="00A31DF8" w:rsidP="00143700">
      <w:pPr>
        <w:spacing w:after="0"/>
        <w:jc w:val="both"/>
        <w:rPr>
          <w:rFonts w:ascii="Times New Roman" w:eastAsia="MS Mincho" w:hAnsi="Times New Roman" w:cs="Times New Roman"/>
          <w:sz w:val="24"/>
          <w:szCs w:val="24"/>
        </w:rPr>
      </w:pPr>
    </w:p>
    <w:p w:rsidR="00C11A8C" w:rsidRDefault="00C96141" w:rsidP="00031C4C">
      <w:pPr>
        <w:spacing w:before="100" w:beforeAutospacing="1" w:after="100" w:afterAutospacing="1"/>
        <w:jc w:val="both"/>
        <w:rPr>
          <w:rFonts w:ascii="Times New Roman" w:eastAsia="MS Mincho" w:hAnsi="Times New Roman" w:cs="Times New Roman"/>
          <w:b/>
          <w:color w:val="000000" w:themeColor="text1"/>
          <w:sz w:val="24"/>
          <w:szCs w:val="24"/>
        </w:rPr>
      </w:pPr>
      <w:r>
        <w:rPr>
          <w:rFonts w:ascii="Times New Roman" w:eastAsia="MS Mincho" w:hAnsi="Times New Roman" w:cs="Times New Roman"/>
          <w:b/>
          <w:color w:val="000000" w:themeColor="text1"/>
          <w:sz w:val="24"/>
          <w:szCs w:val="24"/>
        </w:rPr>
        <w:t>DEATH OF THE U.S. SPOUSE</w:t>
      </w:r>
      <w:r w:rsidR="00863EBA">
        <w:rPr>
          <w:rFonts w:ascii="Times New Roman" w:eastAsia="MS Mincho" w:hAnsi="Times New Roman" w:cs="Times New Roman"/>
          <w:b/>
          <w:color w:val="000000" w:themeColor="text1"/>
          <w:sz w:val="24"/>
          <w:szCs w:val="24"/>
        </w:rPr>
        <w:t>/RESIDENT</w:t>
      </w:r>
    </w:p>
    <w:p w:rsidR="00B15086" w:rsidRPr="00B15086" w:rsidRDefault="00C11A8C" w:rsidP="00B15086">
      <w:pPr>
        <w:spacing w:before="100" w:beforeAutospacing="1" w:after="100" w:afterAutospacing="1"/>
        <w:jc w:val="both"/>
        <w:rPr>
          <w:rFonts w:ascii="Times New Roman" w:eastAsia="MS Mincho" w:hAnsi="Times New Roman" w:cs="Times New Roman"/>
          <w:sz w:val="24"/>
          <w:szCs w:val="24"/>
        </w:rPr>
      </w:pPr>
      <w:r>
        <w:rPr>
          <w:rFonts w:ascii="Times New Roman" w:eastAsia="MS Mincho" w:hAnsi="Times New Roman" w:cs="Times New Roman"/>
          <w:color w:val="000000" w:themeColor="text1"/>
          <w:sz w:val="24"/>
          <w:szCs w:val="24"/>
        </w:rPr>
        <w:t>If the U.S. citizen</w:t>
      </w:r>
      <w:r w:rsidR="00863EBA">
        <w:rPr>
          <w:rFonts w:ascii="Times New Roman" w:eastAsia="MS Mincho" w:hAnsi="Times New Roman" w:cs="Times New Roman"/>
          <w:color w:val="000000" w:themeColor="text1"/>
          <w:sz w:val="24"/>
          <w:szCs w:val="24"/>
        </w:rPr>
        <w:t>/Legal Permanent Resident</w:t>
      </w:r>
      <w:r>
        <w:rPr>
          <w:rFonts w:ascii="Times New Roman" w:eastAsia="MS Mincho" w:hAnsi="Times New Roman" w:cs="Times New Roman"/>
          <w:color w:val="000000" w:themeColor="text1"/>
          <w:sz w:val="24"/>
          <w:szCs w:val="24"/>
        </w:rPr>
        <w:t xml:space="preserve"> spouse dies during the two year period, a joint petition is not required and the waiver provisions under INA 216</w:t>
      </w:r>
      <w:r w:rsidR="00B15086">
        <w:rPr>
          <w:rFonts w:ascii="Times New Roman" w:eastAsia="MS Mincho" w:hAnsi="Times New Roman" w:cs="Times New Roman"/>
          <w:color w:val="000000" w:themeColor="text1"/>
          <w:sz w:val="24"/>
          <w:szCs w:val="24"/>
        </w:rPr>
        <w:t>(c)</w:t>
      </w:r>
      <w:r>
        <w:rPr>
          <w:rFonts w:ascii="Times New Roman" w:eastAsia="MS Mincho" w:hAnsi="Times New Roman" w:cs="Times New Roman"/>
          <w:color w:val="000000" w:themeColor="text1"/>
          <w:sz w:val="24"/>
          <w:szCs w:val="24"/>
        </w:rPr>
        <w:t xml:space="preserve">(4) do not apply.  The conditional resident </w:t>
      </w:r>
      <w:r w:rsidR="00B15086">
        <w:rPr>
          <w:rFonts w:ascii="Times New Roman" w:eastAsia="MS Mincho" w:hAnsi="Times New Roman" w:cs="Times New Roman"/>
          <w:color w:val="000000" w:themeColor="text1"/>
          <w:sz w:val="24"/>
          <w:szCs w:val="24"/>
        </w:rPr>
        <w:t xml:space="preserve">must still file a petition and provide proof of the death and establish that the marriage was legal where it took place and was not entered into for the purposes of procuring the noncitizen’s admission.  </w:t>
      </w:r>
      <w:r w:rsidR="00B15086" w:rsidRPr="00B15086">
        <w:rPr>
          <w:rFonts w:ascii="Times New Roman" w:eastAsia="MS Mincho" w:hAnsi="Times New Roman" w:cs="Times New Roman"/>
          <w:sz w:val="24"/>
          <w:szCs w:val="24"/>
        </w:rPr>
        <w:t xml:space="preserve">In </w:t>
      </w:r>
      <w:r w:rsidR="00B15086" w:rsidRPr="00B15086">
        <w:rPr>
          <w:rFonts w:ascii="Times New Roman" w:eastAsia="MS Mincho" w:hAnsi="Times New Roman" w:cs="Times New Roman"/>
          <w:i/>
          <w:sz w:val="24"/>
          <w:szCs w:val="24"/>
        </w:rPr>
        <w:t>Matter of Rose</w:t>
      </w:r>
      <w:r w:rsidR="00B15086" w:rsidRPr="00B15086">
        <w:rPr>
          <w:rFonts w:ascii="Times New Roman" w:eastAsia="MS Mincho" w:hAnsi="Times New Roman" w:cs="Times New Roman"/>
          <w:sz w:val="24"/>
          <w:szCs w:val="24"/>
        </w:rPr>
        <w:t>,</w:t>
      </w:r>
      <w:r w:rsidR="00B15086" w:rsidRPr="00B15086">
        <w:rPr>
          <w:rFonts w:ascii="Times New Roman" w:eastAsia="MS Mincho" w:hAnsi="Times New Roman" w:cs="Times New Roman"/>
          <w:sz w:val="24"/>
          <w:szCs w:val="24"/>
          <w:vertAlign w:val="superscript"/>
        </w:rPr>
        <w:footnoteReference w:id="6"/>
      </w:r>
      <w:r w:rsidR="00B15086" w:rsidRPr="00B15086">
        <w:rPr>
          <w:rFonts w:ascii="Times New Roman" w:eastAsia="MS Mincho" w:hAnsi="Times New Roman" w:cs="Times New Roman"/>
          <w:sz w:val="24"/>
          <w:szCs w:val="24"/>
        </w:rPr>
        <w:t xml:space="preserve"> the BIA determined that the death of the noncitizen’s spouse excuses the joint fil</w:t>
      </w:r>
      <w:r w:rsidR="00863EBA">
        <w:rPr>
          <w:rFonts w:ascii="Times New Roman" w:eastAsia="MS Mincho" w:hAnsi="Times New Roman" w:cs="Times New Roman"/>
          <w:sz w:val="24"/>
          <w:szCs w:val="24"/>
        </w:rPr>
        <w:t>ing requirement. T</w:t>
      </w:r>
      <w:r w:rsidR="00B15086" w:rsidRPr="00B15086">
        <w:rPr>
          <w:rFonts w:ascii="Times New Roman" w:eastAsia="MS Mincho" w:hAnsi="Times New Roman" w:cs="Times New Roman"/>
          <w:sz w:val="24"/>
          <w:szCs w:val="24"/>
        </w:rPr>
        <w:t>he CR must still meet the general requirements of demonstrating a good-</w:t>
      </w:r>
      <w:r w:rsidR="00B15086">
        <w:rPr>
          <w:rFonts w:ascii="Times New Roman" w:eastAsia="MS Mincho" w:hAnsi="Times New Roman" w:cs="Times New Roman"/>
          <w:sz w:val="24"/>
          <w:szCs w:val="24"/>
        </w:rPr>
        <w:t xml:space="preserve">faith </w:t>
      </w:r>
      <w:r w:rsidR="00863EBA">
        <w:rPr>
          <w:rFonts w:ascii="Times New Roman" w:eastAsia="MS Mincho" w:hAnsi="Times New Roman" w:cs="Times New Roman"/>
          <w:sz w:val="24"/>
          <w:szCs w:val="24"/>
        </w:rPr>
        <w:t>marriage, filing a timely petition</w:t>
      </w:r>
      <w:r w:rsidR="00B15086" w:rsidRPr="00B15086">
        <w:rPr>
          <w:rFonts w:ascii="Times New Roman" w:eastAsia="MS Mincho" w:hAnsi="Times New Roman" w:cs="Times New Roman"/>
          <w:sz w:val="24"/>
          <w:szCs w:val="24"/>
        </w:rPr>
        <w:t>, and attending the required interview; however, no separate hardship waiver is necessary.</w:t>
      </w:r>
      <w:r w:rsidR="00B15086" w:rsidRPr="00B15086">
        <w:rPr>
          <w:rFonts w:ascii="Times New Roman" w:eastAsia="MS Mincho" w:hAnsi="Times New Roman" w:cs="Times New Roman"/>
          <w:sz w:val="24"/>
          <w:szCs w:val="24"/>
          <w:vertAlign w:val="superscript"/>
        </w:rPr>
        <w:footnoteReference w:id="7"/>
      </w:r>
      <w:r w:rsidR="00B15086" w:rsidRPr="00B15086">
        <w:rPr>
          <w:rFonts w:ascii="Times New Roman" w:eastAsia="MS Mincho" w:hAnsi="Times New Roman" w:cs="Times New Roman"/>
          <w:sz w:val="24"/>
          <w:szCs w:val="24"/>
        </w:rPr>
        <w:t xml:space="preserve"> </w:t>
      </w:r>
    </w:p>
    <w:p w:rsidR="00863EBA" w:rsidRDefault="00863EBA" w:rsidP="00143700">
      <w:pPr>
        <w:spacing w:before="100" w:beforeAutospacing="1" w:after="100" w:afterAutospacing="1"/>
        <w:jc w:val="both"/>
        <w:rPr>
          <w:rFonts w:ascii="Times New Roman" w:eastAsia="MS Mincho" w:hAnsi="Times New Roman" w:cs="Times New Roman"/>
          <w:b/>
          <w:color w:val="000000" w:themeColor="text1"/>
          <w:sz w:val="24"/>
          <w:szCs w:val="24"/>
        </w:rPr>
      </w:pPr>
    </w:p>
    <w:p w:rsidR="00A31DF8" w:rsidRPr="00A31DF8" w:rsidRDefault="00A31DF8" w:rsidP="00143700">
      <w:pPr>
        <w:spacing w:before="100" w:beforeAutospacing="1" w:after="100" w:afterAutospacing="1"/>
        <w:jc w:val="both"/>
        <w:rPr>
          <w:rFonts w:ascii="Times New Roman" w:eastAsia="MS Mincho" w:hAnsi="Times New Roman" w:cs="Times New Roman"/>
          <w:b/>
          <w:color w:val="000000" w:themeColor="text1"/>
          <w:sz w:val="24"/>
          <w:szCs w:val="24"/>
        </w:rPr>
      </w:pPr>
      <w:r w:rsidRPr="00A31DF8">
        <w:rPr>
          <w:rFonts w:ascii="Times New Roman" w:eastAsia="MS Mincho" w:hAnsi="Times New Roman" w:cs="Times New Roman"/>
          <w:b/>
          <w:color w:val="000000" w:themeColor="text1"/>
          <w:sz w:val="24"/>
          <w:szCs w:val="24"/>
        </w:rPr>
        <w:t>SEPARATED BUT NOT YET DIVORCED</w:t>
      </w:r>
    </w:p>
    <w:p w:rsidR="00A31DF8" w:rsidRPr="00A31DF8" w:rsidRDefault="00A31DF8" w:rsidP="001E0C0A">
      <w:pPr>
        <w:spacing w:before="100" w:beforeAutospacing="1" w:after="100" w:afterAutospacing="1"/>
        <w:jc w:val="both"/>
        <w:rPr>
          <w:rFonts w:ascii="Times New Roman" w:eastAsia="MS Mincho" w:hAnsi="Times New Roman" w:cs="Times New Roman"/>
          <w:color w:val="000000" w:themeColor="text1"/>
          <w:sz w:val="24"/>
          <w:szCs w:val="24"/>
        </w:rPr>
      </w:pPr>
      <w:r w:rsidRPr="00A31DF8">
        <w:rPr>
          <w:rFonts w:ascii="Times New Roman" w:eastAsia="MS Mincho" w:hAnsi="Times New Roman" w:cs="Times New Roman"/>
          <w:color w:val="000000" w:themeColor="text1"/>
          <w:sz w:val="24"/>
          <w:szCs w:val="24"/>
        </w:rPr>
        <w:t xml:space="preserve">If a joint I-751 petition is filed by parties who are legally separated and/or in pending divorce </w:t>
      </w:r>
      <w:r w:rsidR="00863EBA" w:rsidRPr="00A31DF8">
        <w:rPr>
          <w:rFonts w:ascii="Times New Roman" w:eastAsia="MS Mincho" w:hAnsi="Times New Roman" w:cs="Times New Roman"/>
          <w:color w:val="000000" w:themeColor="text1"/>
          <w:sz w:val="24"/>
          <w:szCs w:val="24"/>
        </w:rPr>
        <w:t>proceedings</w:t>
      </w:r>
      <w:r w:rsidRPr="00A31DF8">
        <w:rPr>
          <w:rFonts w:ascii="Times New Roman" w:eastAsia="MS Mincho" w:hAnsi="Times New Roman" w:cs="Times New Roman"/>
          <w:color w:val="000000" w:themeColor="text1"/>
          <w:sz w:val="24"/>
          <w:szCs w:val="24"/>
        </w:rPr>
        <w:t xml:space="preserve"> </w:t>
      </w:r>
      <w:r w:rsidR="00B06CF7">
        <w:rPr>
          <w:rFonts w:ascii="Times New Roman" w:eastAsia="MS Mincho" w:hAnsi="Times New Roman" w:cs="Times New Roman"/>
          <w:color w:val="000000" w:themeColor="text1"/>
          <w:sz w:val="24"/>
          <w:szCs w:val="24"/>
        </w:rPr>
        <w:t xml:space="preserve">and this comes to the attention of </w:t>
      </w:r>
      <w:r w:rsidRPr="00A31DF8">
        <w:rPr>
          <w:rFonts w:ascii="Times New Roman" w:eastAsia="MS Mincho" w:hAnsi="Times New Roman" w:cs="Times New Roman"/>
          <w:color w:val="000000" w:themeColor="text1"/>
          <w:sz w:val="24"/>
          <w:szCs w:val="24"/>
        </w:rPr>
        <w:t xml:space="preserve">USCIS </w:t>
      </w:r>
      <w:r w:rsidR="00B06CF7">
        <w:rPr>
          <w:rFonts w:ascii="Times New Roman" w:eastAsia="MS Mincho" w:hAnsi="Times New Roman" w:cs="Times New Roman"/>
          <w:color w:val="000000" w:themeColor="text1"/>
          <w:sz w:val="24"/>
          <w:szCs w:val="24"/>
        </w:rPr>
        <w:t xml:space="preserve">it </w:t>
      </w:r>
      <w:r w:rsidRPr="00A31DF8">
        <w:rPr>
          <w:rFonts w:ascii="Times New Roman" w:eastAsia="MS Mincho" w:hAnsi="Times New Roman" w:cs="Times New Roman"/>
          <w:color w:val="000000" w:themeColor="text1"/>
          <w:sz w:val="24"/>
          <w:szCs w:val="24"/>
        </w:rPr>
        <w:t>will issue a Request for Additional Evidence (RFE) to the noncitizen to provide a divorce decree.  If the decree is presented to USCIS within the 87 day response period, the officer will amend the petition to adjudicate it as a waiver petition, thus avoiding the need to re-file the case as a waiver.  If the divorce decree is not produced because the parties are not divorced when the RFE is due, USCIS will evaluate the bona fides of the marriage and adjudicate the case as a joint petition.</w:t>
      </w:r>
      <w:r w:rsidRPr="00A31DF8">
        <w:rPr>
          <w:rFonts w:ascii="Times New Roman" w:eastAsia="MS Mincho" w:hAnsi="Times New Roman" w:cs="Times New Roman"/>
          <w:color w:val="000000" w:themeColor="text1"/>
          <w:sz w:val="24"/>
          <w:szCs w:val="24"/>
          <w:vertAlign w:val="superscript"/>
        </w:rPr>
        <w:footnoteReference w:id="8"/>
      </w:r>
      <w:r w:rsidRPr="00A31DF8">
        <w:rPr>
          <w:rFonts w:ascii="Times New Roman" w:eastAsia="MS Mincho" w:hAnsi="Times New Roman" w:cs="Times New Roman"/>
          <w:color w:val="000000" w:themeColor="text1"/>
          <w:sz w:val="24"/>
          <w:szCs w:val="24"/>
        </w:rPr>
        <w:t xml:space="preserve">  </w:t>
      </w:r>
    </w:p>
    <w:p w:rsidR="00A31DF8" w:rsidRPr="00A31DF8" w:rsidRDefault="00A31DF8" w:rsidP="001E0C0A">
      <w:pPr>
        <w:spacing w:before="100" w:beforeAutospacing="1" w:after="100" w:afterAutospacing="1"/>
        <w:jc w:val="both"/>
        <w:rPr>
          <w:rFonts w:ascii="Times New Roman" w:eastAsia="MS Mincho" w:hAnsi="Times New Roman" w:cs="Times New Roman"/>
          <w:color w:val="000000" w:themeColor="text1"/>
          <w:sz w:val="24"/>
          <w:szCs w:val="24"/>
        </w:rPr>
      </w:pPr>
      <w:r w:rsidRPr="00A31DF8">
        <w:rPr>
          <w:rFonts w:ascii="Times New Roman" w:eastAsia="MS Mincho" w:hAnsi="Times New Roman" w:cs="Times New Roman"/>
          <w:color w:val="000000" w:themeColor="text1"/>
          <w:sz w:val="24"/>
          <w:szCs w:val="24"/>
        </w:rPr>
        <w:lastRenderedPageBreak/>
        <w:t xml:space="preserve">USCIS guidance specifically states that “USCIS may not deny a petition solely because the spouses are separated and/or have initiated divorce or annulment proceedings.”  When filing cases under these circumstances, it is important to reference this language and include a copy of the Memo, as well as ensure that the petition is accompanied by strong evidence of the bona fides of the marriage. </w:t>
      </w:r>
      <w:r w:rsidR="00FB7BB2">
        <w:rPr>
          <w:rFonts w:ascii="Times New Roman" w:eastAsia="MS Mincho" w:hAnsi="Times New Roman" w:cs="Times New Roman"/>
          <w:color w:val="000000" w:themeColor="text1"/>
          <w:sz w:val="24"/>
          <w:szCs w:val="24"/>
        </w:rPr>
        <w:t xml:space="preserve"> It is an ethical conundrum for counsel when made aware of a separation and the petition is pending at the Service Center.  If a divorce should occur it is necessary to advise USCIS of the divorce if the petition has not been approved already.  USCIS will not take a new application</w:t>
      </w:r>
      <w:r w:rsidR="00FB7BB2" w:rsidRPr="00A31DF8">
        <w:rPr>
          <w:rFonts w:ascii="Times New Roman" w:eastAsia="MS Mincho" w:hAnsi="Times New Roman" w:cs="Times New Roman"/>
          <w:color w:val="000000" w:themeColor="text1"/>
          <w:sz w:val="24"/>
          <w:szCs w:val="24"/>
        </w:rPr>
        <w:t xml:space="preserve"> </w:t>
      </w:r>
      <w:r w:rsidR="00FB7BB2">
        <w:rPr>
          <w:rFonts w:ascii="Times New Roman" w:eastAsia="MS Mincho" w:hAnsi="Times New Roman" w:cs="Times New Roman"/>
          <w:color w:val="000000" w:themeColor="text1"/>
          <w:sz w:val="24"/>
          <w:szCs w:val="24"/>
        </w:rPr>
        <w:t>while another is pending</w:t>
      </w:r>
      <w:r w:rsidR="009E4DAC">
        <w:rPr>
          <w:rFonts w:ascii="Times New Roman" w:eastAsia="MS Mincho" w:hAnsi="Times New Roman" w:cs="Times New Roman"/>
          <w:color w:val="000000" w:themeColor="text1"/>
          <w:sz w:val="24"/>
          <w:szCs w:val="24"/>
        </w:rPr>
        <w:t xml:space="preserve">: however, an updated petition with supporting documents can be submitted with a request for substitution.  If rejected, </w:t>
      </w:r>
      <w:r w:rsidR="00FB7BB2">
        <w:rPr>
          <w:rFonts w:ascii="Times New Roman" w:eastAsia="MS Mincho" w:hAnsi="Times New Roman" w:cs="Times New Roman"/>
          <w:color w:val="000000" w:themeColor="text1"/>
          <w:sz w:val="24"/>
          <w:szCs w:val="24"/>
        </w:rPr>
        <w:t>it would be necessary to withdraw the original petition</w:t>
      </w:r>
      <w:r w:rsidR="009E4DAC">
        <w:rPr>
          <w:rFonts w:ascii="Times New Roman" w:eastAsia="MS Mincho" w:hAnsi="Times New Roman" w:cs="Times New Roman"/>
          <w:color w:val="000000" w:themeColor="text1"/>
          <w:sz w:val="24"/>
          <w:szCs w:val="24"/>
        </w:rPr>
        <w:t>, wait for confirmation of the withdrawal and submit the new one.</w:t>
      </w:r>
      <w:r w:rsidR="00FB7BB2">
        <w:rPr>
          <w:rFonts w:ascii="Times New Roman" w:eastAsia="MS Mincho" w:hAnsi="Times New Roman" w:cs="Times New Roman"/>
          <w:color w:val="000000" w:themeColor="text1"/>
          <w:sz w:val="24"/>
          <w:szCs w:val="24"/>
        </w:rPr>
        <w:t xml:space="preserve"> </w:t>
      </w:r>
      <w:r w:rsidR="00FB7BB2" w:rsidRPr="00A31DF8">
        <w:rPr>
          <w:rFonts w:ascii="Times New Roman" w:eastAsia="MS Mincho" w:hAnsi="Times New Roman" w:cs="Times New Roman"/>
          <w:color w:val="000000" w:themeColor="text1"/>
          <w:sz w:val="24"/>
          <w:szCs w:val="24"/>
        </w:rPr>
        <w:t xml:space="preserve">  </w:t>
      </w:r>
    </w:p>
    <w:p w:rsidR="00143700" w:rsidRDefault="009E4DAC" w:rsidP="001E0C0A">
      <w:pPr>
        <w:spacing w:before="100" w:beforeAutospacing="1" w:after="100" w:afterAutospacing="1"/>
        <w:jc w:val="both"/>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W</w:t>
      </w:r>
      <w:r w:rsidR="00A31DF8" w:rsidRPr="00A31DF8">
        <w:rPr>
          <w:rFonts w:ascii="Times New Roman" w:eastAsia="MS Mincho" w:hAnsi="Times New Roman" w:cs="Times New Roman"/>
          <w:color w:val="000000" w:themeColor="text1"/>
          <w:sz w:val="24"/>
          <w:szCs w:val="24"/>
        </w:rPr>
        <w:t>here the parties are separated and</w:t>
      </w:r>
      <w:r>
        <w:rPr>
          <w:rFonts w:ascii="Times New Roman" w:eastAsia="MS Mincho" w:hAnsi="Times New Roman" w:cs="Times New Roman"/>
          <w:color w:val="000000" w:themeColor="text1"/>
          <w:sz w:val="24"/>
          <w:szCs w:val="24"/>
        </w:rPr>
        <w:t>/or</w:t>
      </w:r>
      <w:r w:rsidR="00A31DF8" w:rsidRPr="00A31DF8">
        <w:rPr>
          <w:rFonts w:ascii="Times New Roman" w:eastAsia="MS Mincho" w:hAnsi="Times New Roman" w:cs="Times New Roman"/>
          <w:color w:val="000000" w:themeColor="text1"/>
          <w:sz w:val="24"/>
          <w:szCs w:val="24"/>
        </w:rPr>
        <w:t xml:space="preserve"> divorce is pending, but the U.S. citizen spouse will not agree to sign a joint petition, the noncitizen must file for a waiver of the joint filing requirement</w:t>
      </w:r>
      <w:r>
        <w:rPr>
          <w:rFonts w:ascii="Times New Roman" w:eastAsia="MS Mincho" w:hAnsi="Times New Roman" w:cs="Times New Roman"/>
          <w:color w:val="000000" w:themeColor="text1"/>
          <w:sz w:val="24"/>
          <w:szCs w:val="24"/>
        </w:rPr>
        <w:t>, file for divorce</w:t>
      </w:r>
      <w:r w:rsidR="00A31DF8" w:rsidRPr="00A31DF8">
        <w:rPr>
          <w:rFonts w:ascii="Times New Roman" w:eastAsia="MS Mincho" w:hAnsi="Times New Roman" w:cs="Times New Roman"/>
          <w:color w:val="000000" w:themeColor="text1"/>
          <w:sz w:val="24"/>
          <w:szCs w:val="24"/>
        </w:rPr>
        <w:t xml:space="preserve"> and hope that the pending divorce is finalized within the 87</w:t>
      </w:r>
      <w:r w:rsidR="00A31DF8" w:rsidRPr="00A31DF8">
        <w:rPr>
          <w:rFonts w:ascii="Times New Roman" w:eastAsia="MS Mincho" w:hAnsi="Times New Roman" w:cs="Times New Roman"/>
          <w:color w:val="000000" w:themeColor="text1"/>
          <w:sz w:val="24"/>
          <w:szCs w:val="24"/>
          <w:vertAlign w:val="superscript"/>
        </w:rPr>
        <w:t xml:space="preserve"> </w:t>
      </w:r>
      <w:r w:rsidR="00A31DF8" w:rsidRPr="00A31DF8">
        <w:rPr>
          <w:rFonts w:ascii="Times New Roman" w:eastAsia="MS Mincho" w:hAnsi="Times New Roman" w:cs="Times New Roman"/>
          <w:color w:val="000000" w:themeColor="text1"/>
          <w:sz w:val="24"/>
          <w:szCs w:val="24"/>
        </w:rPr>
        <w:t xml:space="preserve">day deadline for </w:t>
      </w:r>
      <w:r>
        <w:rPr>
          <w:rFonts w:ascii="Times New Roman" w:eastAsia="MS Mincho" w:hAnsi="Times New Roman" w:cs="Times New Roman"/>
          <w:color w:val="000000" w:themeColor="text1"/>
          <w:sz w:val="24"/>
          <w:szCs w:val="24"/>
        </w:rPr>
        <w:t xml:space="preserve">any </w:t>
      </w:r>
      <w:r w:rsidR="00A31DF8" w:rsidRPr="00A31DF8">
        <w:rPr>
          <w:rFonts w:ascii="Times New Roman" w:eastAsia="MS Mincho" w:hAnsi="Times New Roman" w:cs="Times New Roman"/>
          <w:color w:val="000000" w:themeColor="text1"/>
          <w:sz w:val="24"/>
          <w:szCs w:val="24"/>
        </w:rPr>
        <w:t>RFE</w:t>
      </w:r>
      <w:r>
        <w:rPr>
          <w:rFonts w:ascii="Times New Roman" w:eastAsia="MS Mincho" w:hAnsi="Times New Roman" w:cs="Times New Roman"/>
          <w:color w:val="000000" w:themeColor="text1"/>
          <w:sz w:val="24"/>
          <w:szCs w:val="24"/>
        </w:rPr>
        <w:t xml:space="preserve"> issued</w:t>
      </w:r>
      <w:r w:rsidR="00A31DF8" w:rsidRPr="00A31DF8">
        <w:rPr>
          <w:rFonts w:ascii="Times New Roman" w:eastAsia="MS Mincho" w:hAnsi="Times New Roman" w:cs="Times New Roman"/>
          <w:color w:val="000000" w:themeColor="text1"/>
          <w:sz w:val="24"/>
          <w:szCs w:val="24"/>
        </w:rPr>
        <w:t>. If the noncitizen establishes the eligibility for the waiver, USCIS will adjudicate the petition on the merits in accordance with the established procedure. However, if the noncitizen does not respond to the RFE, or if the submitted response does not establish eligibility for the waiver, USCIS will deny the I-751 and issue a Notice of Termination of Conditional Resident Status</w:t>
      </w:r>
      <w:r>
        <w:rPr>
          <w:rFonts w:ascii="Times New Roman" w:eastAsia="MS Mincho" w:hAnsi="Times New Roman" w:cs="Times New Roman"/>
          <w:color w:val="000000" w:themeColor="text1"/>
          <w:sz w:val="24"/>
          <w:szCs w:val="24"/>
        </w:rPr>
        <w:t xml:space="preserve"> and issue a Notice to Appear (NTA)</w:t>
      </w:r>
      <w:r w:rsidR="00A31DF8" w:rsidRPr="00A31DF8">
        <w:rPr>
          <w:rFonts w:ascii="Times New Roman" w:eastAsia="MS Mincho" w:hAnsi="Times New Roman" w:cs="Times New Roman"/>
          <w:color w:val="000000" w:themeColor="text1"/>
          <w:sz w:val="24"/>
          <w:szCs w:val="24"/>
        </w:rPr>
        <w:t xml:space="preserve">.  </w:t>
      </w:r>
      <w:r>
        <w:rPr>
          <w:rFonts w:ascii="Times New Roman" w:eastAsia="MS Mincho" w:hAnsi="Times New Roman" w:cs="Times New Roman"/>
          <w:color w:val="000000" w:themeColor="text1"/>
          <w:sz w:val="24"/>
          <w:szCs w:val="24"/>
          <w:vertAlign w:val="superscript"/>
        </w:rPr>
        <w:t xml:space="preserve"> </w:t>
      </w:r>
      <w:r w:rsidR="00FB7BB2">
        <w:rPr>
          <w:rFonts w:ascii="Times New Roman" w:eastAsia="MS Mincho" w:hAnsi="Times New Roman" w:cs="Times New Roman"/>
          <w:color w:val="000000" w:themeColor="text1"/>
          <w:sz w:val="24"/>
          <w:szCs w:val="24"/>
        </w:rPr>
        <w:t xml:space="preserve">  </w:t>
      </w:r>
    </w:p>
    <w:p w:rsidR="001E0C0A" w:rsidRDefault="001E0C0A" w:rsidP="00143700">
      <w:pPr>
        <w:spacing w:after="0"/>
        <w:rPr>
          <w:rFonts w:ascii="Times New Roman" w:eastAsia="MS Mincho" w:hAnsi="Times New Roman" w:cs="Times New Roman"/>
          <w:b/>
          <w:sz w:val="24"/>
          <w:szCs w:val="24"/>
        </w:rPr>
      </w:pPr>
    </w:p>
    <w:p w:rsidR="00143700" w:rsidRDefault="00143700" w:rsidP="00143700">
      <w:pPr>
        <w:spacing w:after="0"/>
        <w:rPr>
          <w:rFonts w:ascii="Times New Roman" w:eastAsia="MS Mincho" w:hAnsi="Times New Roman" w:cs="Times New Roman"/>
          <w:b/>
          <w:sz w:val="24"/>
          <w:szCs w:val="24"/>
        </w:rPr>
      </w:pPr>
      <w:r>
        <w:rPr>
          <w:rFonts w:ascii="Times New Roman" w:eastAsia="MS Mincho" w:hAnsi="Times New Roman" w:cs="Times New Roman"/>
          <w:b/>
          <w:sz w:val="24"/>
          <w:szCs w:val="24"/>
        </w:rPr>
        <w:t>EXTREME HARDHSIP</w:t>
      </w:r>
    </w:p>
    <w:p w:rsidR="00143700" w:rsidRDefault="00143700" w:rsidP="00143700">
      <w:pPr>
        <w:spacing w:after="0"/>
        <w:rPr>
          <w:rFonts w:ascii="Times New Roman" w:eastAsia="MS Mincho" w:hAnsi="Times New Roman" w:cs="Times New Roman"/>
          <w:b/>
          <w:sz w:val="24"/>
          <w:szCs w:val="24"/>
        </w:rPr>
      </w:pPr>
    </w:p>
    <w:p w:rsidR="005E4247" w:rsidRPr="005E4247" w:rsidRDefault="005E4247" w:rsidP="001E0C0A">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Where the conditional resident must establish that extreme hardship would result from their removal from the U.S. only those factors that arose subsequent to the noncitizen’s entry as a conditional permanent resident are considered.</w:t>
      </w:r>
      <w:r w:rsidR="00E4748A">
        <w:rPr>
          <w:rStyle w:val="FootnoteReference"/>
          <w:rFonts w:eastAsia="MS Mincho" w:cs="Times New Roman"/>
          <w:szCs w:val="24"/>
        </w:rPr>
        <w:footnoteReference w:id="9"/>
      </w:r>
      <w:r>
        <w:rPr>
          <w:rFonts w:ascii="Times New Roman" w:eastAsia="MS Mincho" w:hAnsi="Times New Roman" w:cs="Times New Roman"/>
          <w:sz w:val="24"/>
          <w:szCs w:val="24"/>
        </w:rPr>
        <w:t xml:space="preserve">   USCIS notes that some hardship will always be present </w:t>
      </w:r>
      <w:r w:rsidR="00863EBA">
        <w:rPr>
          <w:rFonts w:ascii="Times New Roman" w:eastAsia="MS Mincho" w:hAnsi="Times New Roman" w:cs="Times New Roman"/>
          <w:sz w:val="24"/>
          <w:szCs w:val="24"/>
        </w:rPr>
        <w:t xml:space="preserve">when an applicant has to depart the country </w:t>
      </w:r>
      <w:r>
        <w:rPr>
          <w:rFonts w:ascii="Times New Roman" w:eastAsia="MS Mincho" w:hAnsi="Times New Roman" w:cs="Times New Roman"/>
          <w:sz w:val="24"/>
          <w:szCs w:val="24"/>
        </w:rPr>
        <w:t xml:space="preserve">so it must be shown that the hardship </w:t>
      </w:r>
      <w:r w:rsidR="00863EBA">
        <w:rPr>
          <w:rFonts w:ascii="Times New Roman" w:eastAsia="MS Mincho" w:hAnsi="Times New Roman" w:cs="Times New Roman"/>
          <w:sz w:val="24"/>
          <w:szCs w:val="24"/>
        </w:rPr>
        <w:t xml:space="preserve">resulting from their departure </w:t>
      </w:r>
      <w:r>
        <w:rPr>
          <w:rFonts w:ascii="Times New Roman" w:eastAsia="MS Mincho" w:hAnsi="Times New Roman" w:cs="Times New Roman"/>
          <w:sz w:val="24"/>
          <w:szCs w:val="24"/>
        </w:rPr>
        <w:t xml:space="preserve">would be extreme.  The burden in establishing that extreme hardship exists is on the applicant.  Country conditions that have arisen since the date of conditional residence are considered; however, the fact that the conditional resident may have given up a good life </w:t>
      </w:r>
      <w:r w:rsidR="001E0C0A">
        <w:rPr>
          <w:rFonts w:ascii="Times New Roman" w:eastAsia="MS Mincho" w:hAnsi="Times New Roman" w:cs="Times New Roman"/>
          <w:sz w:val="24"/>
          <w:szCs w:val="24"/>
        </w:rPr>
        <w:t xml:space="preserve">to move to the U.S. </w:t>
      </w:r>
      <w:r>
        <w:rPr>
          <w:rFonts w:ascii="Times New Roman" w:eastAsia="MS Mincho" w:hAnsi="Times New Roman" w:cs="Times New Roman"/>
          <w:sz w:val="24"/>
          <w:szCs w:val="24"/>
        </w:rPr>
        <w:t>or will be looked down upon by society</w:t>
      </w:r>
      <w:r w:rsidR="001E0C0A">
        <w:rPr>
          <w:rFonts w:ascii="Times New Roman" w:eastAsia="MS Mincho" w:hAnsi="Times New Roman" w:cs="Times New Roman"/>
          <w:sz w:val="24"/>
          <w:szCs w:val="24"/>
        </w:rPr>
        <w:t xml:space="preserve"> if returned to their native country are not normally valid considerations</w:t>
      </w:r>
      <w:r>
        <w:rPr>
          <w:rFonts w:ascii="Times New Roman" w:eastAsia="MS Mincho" w:hAnsi="Times New Roman" w:cs="Times New Roman"/>
          <w:sz w:val="24"/>
          <w:szCs w:val="24"/>
        </w:rPr>
        <w:t>.  Hardship to others will be considered and is not necessarily limited to the alien and/or their immediate family.  A review of the standard</w:t>
      </w:r>
      <w:r w:rsidR="001E0C0A">
        <w:rPr>
          <w:rFonts w:ascii="Times New Roman" w:eastAsia="MS Mincho" w:hAnsi="Times New Roman" w:cs="Times New Roman"/>
          <w:sz w:val="24"/>
          <w:szCs w:val="24"/>
        </w:rPr>
        <w:t>s for demonstrating</w:t>
      </w:r>
      <w:r>
        <w:rPr>
          <w:rFonts w:ascii="Times New Roman" w:eastAsia="MS Mincho" w:hAnsi="Times New Roman" w:cs="Times New Roman"/>
          <w:sz w:val="24"/>
          <w:szCs w:val="24"/>
        </w:rPr>
        <w:t xml:space="preserve"> </w:t>
      </w:r>
      <w:r w:rsidR="001E0C0A">
        <w:rPr>
          <w:rFonts w:ascii="Times New Roman" w:eastAsia="MS Mincho" w:hAnsi="Times New Roman" w:cs="Times New Roman"/>
          <w:sz w:val="24"/>
          <w:szCs w:val="24"/>
        </w:rPr>
        <w:t xml:space="preserve">extreme hardship </w:t>
      </w:r>
      <w:r>
        <w:rPr>
          <w:rFonts w:ascii="Times New Roman" w:eastAsia="MS Mincho" w:hAnsi="Times New Roman" w:cs="Times New Roman"/>
          <w:sz w:val="24"/>
          <w:szCs w:val="24"/>
        </w:rPr>
        <w:t>needs to be made before submitting this type of request.</w:t>
      </w:r>
      <w:r w:rsidR="00E4748A">
        <w:rPr>
          <w:rStyle w:val="FootnoteReference"/>
          <w:rFonts w:eastAsia="MS Mincho" w:cs="Times New Roman"/>
          <w:szCs w:val="24"/>
        </w:rPr>
        <w:footnoteReference w:id="10"/>
      </w:r>
      <w:r w:rsidR="00CE42B7">
        <w:rPr>
          <w:rFonts w:ascii="Times New Roman" w:eastAsia="MS Mincho" w:hAnsi="Times New Roman" w:cs="Times New Roman"/>
          <w:sz w:val="24"/>
          <w:szCs w:val="24"/>
        </w:rPr>
        <w:t xml:space="preserve">  It is </w:t>
      </w:r>
      <w:r w:rsidR="00C07AE4">
        <w:rPr>
          <w:rFonts w:ascii="Times New Roman" w:eastAsia="MS Mincho" w:hAnsi="Times New Roman" w:cs="Times New Roman"/>
          <w:sz w:val="24"/>
          <w:szCs w:val="24"/>
        </w:rPr>
        <w:t xml:space="preserve">important to note that it may not be necessary to demonstrate that the marriage </w:t>
      </w:r>
      <w:r w:rsidR="00C07AE4">
        <w:rPr>
          <w:rFonts w:ascii="Times New Roman" w:eastAsia="MS Mincho" w:hAnsi="Times New Roman" w:cs="Times New Roman"/>
          <w:sz w:val="24"/>
          <w:szCs w:val="24"/>
        </w:rPr>
        <w:lastRenderedPageBreak/>
        <w:t xml:space="preserve">was in good faith in the first place </w:t>
      </w:r>
      <w:r w:rsidR="00CE42B7">
        <w:rPr>
          <w:rFonts w:ascii="Times New Roman" w:eastAsia="MS Mincho" w:hAnsi="Times New Roman" w:cs="Times New Roman"/>
          <w:sz w:val="24"/>
          <w:szCs w:val="24"/>
        </w:rPr>
        <w:t xml:space="preserve">in order to be </w:t>
      </w:r>
      <w:r w:rsidR="00C07AE4">
        <w:rPr>
          <w:rFonts w:ascii="Times New Roman" w:eastAsia="MS Mincho" w:hAnsi="Times New Roman" w:cs="Times New Roman"/>
          <w:sz w:val="24"/>
          <w:szCs w:val="24"/>
        </w:rPr>
        <w:t>eligible for this provision.</w:t>
      </w:r>
      <w:r w:rsidR="00C07AE4">
        <w:rPr>
          <w:rStyle w:val="FootnoteReference"/>
          <w:rFonts w:eastAsia="MS Mincho" w:cs="Times New Roman"/>
          <w:szCs w:val="24"/>
        </w:rPr>
        <w:footnoteReference w:id="11"/>
      </w:r>
      <w:r w:rsidR="00CE42B7">
        <w:rPr>
          <w:rFonts w:ascii="Times New Roman" w:eastAsia="MS Mincho" w:hAnsi="Times New Roman" w:cs="Times New Roman"/>
          <w:sz w:val="24"/>
          <w:szCs w:val="24"/>
        </w:rPr>
        <w:t xml:space="preserve">   Although it is not a provision designed to waive a</w:t>
      </w:r>
      <w:r w:rsidR="00CE42B7">
        <w:rPr>
          <w:rStyle w:val="FootnoteReference"/>
          <w:rFonts w:eastAsia="MS Mincho" w:cs="Times New Roman"/>
          <w:szCs w:val="24"/>
        </w:rPr>
        <w:footnoteReference w:id="12"/>
      </w:r>
      <w:r w:rsidR="00CE42B7">
        <w:rPr>
          <w:rFonts w:ascii="Times New Roman" w:eastAsia="MS Mincho" w:hAnsi="Times New Roman" w:cs="Times New Roman"/>
          <w:sz w:val="24"/>
          <w:szCs w:val="24"/>
        </w:rPr>
        <w:t xml:space="preserve"> sham marriage finding.</w:t>
      </w:r>
    </w:p>
    <w:p w:rsidR="005E4247" w:rsidRDefault="005E4247" w:rsidP="001E0C0A">
      <w:pPr>
        <w:spacing w:after="0"/>
        <w:jc w:val="both"/>
        <w:rPr>
          <w:rFonts w:ascii="Times New Roman" w:eastAsia="MS Mincho" w:hAnsi="Times New Roman" w:cs="Times New Roman"/>
          <w:b/>
          <w:sz w:val="24"/>
          <w:szCs w:val="24"/>
        </w:rPr>
      </w:pPr>
    </w:p>
    <w:p w:rsidR="00AE65D0" w:rsidRDefault="00AE65D0" w:rsidP="00143700">
      <w:pPr>
        <w:spacing w:after="0"/>
        <w:rPr>
          <w:rFonts w:ascii="Times New Roman" w:eastAsia="MS Mincho" w:hAnsi="Times New Roman" w:cs="Times New Roman"/>
          <w:b/>
          <w:sz w:val="24"/>
          <w:szCs w:val="24"/>
        </w:rPr>
      </w:pPr>
    </w:p>
    <w:p w:rsidR="00143700" w:rsidRPr="00143700" w:rsidRDefault="00143700" w:rsidP="00143700">
      <w:pPr>
        <w:spacing w:after="0"/>
        <w:rPr>
          <w:rFonts w:ascii="Times New Roman" w:eastAsia="MS Mincho" w:hAnsi="Times New Roman" w:cs="Times New Roman"/>
          <w:b/>
          <w:sz w:val="24"/>
          <w:szCs w:val="24"/>
        </w:rPr>
      </w:pPr>
      <w:r w:rsidRPr="00143700">
        <w:rPr>
          <w:rFonts w:ascii="Times New Roman" w:eastAsia="MS Mincho" w:hAnsi="Times New Roman" w:cs="Times New Roman"/>
          <w:b/>
          <w:sz w:val="24"/>
          <w:szCs w:val="24"/>
        </w:rPr>
        <w:t>WHAT EXACTLY IS GOOD FAITH?</w:t>
      </w:r>
    </w:p>
    <w:p w:rsidR="00143700" w:rsidRPr="00143700" w:rsidRDefault="00143700" w:rsidP="00143700">
      <w:pPr>
        <w:spacing w:after="0"/>
        <w:rPr>
          <w:rFonts w:ascii="Times New Roman" w:eastAsia="MS Mincho" w:hAnsi="Times New Roman" w:cs="Times New Roman"/>
          <w:sz w:val="24"/>
          <w:szCs w:val="24"/>
        </w:rPr>
      </w:pPr>
    </w:p>
    <w:p w:rsidR="00143700" w:rsidRDefault="00143700" w:rsidP="00143700">
      <w:pPr>
        <w:spacing w:after="0"/>
        <w:jc w:val="both"/>
        <w:rPr>
          <w:rFonts w:ascii="Times New Roman" w:eastAsia="MS Mincho" w:hAnsi="Times New Roman" w:cs="Times New Roman"/>
          <w:sz w:val="24"/>
          <w:szCs w:val="24"/>
        </w:rPr>
      </w:pPr>
      <w:r w:rsidRPr="00143700">
        <w:rPr>
          <w:rFonts w:ascii="Times New Roman" w:eastAsia="MS Mincho" w:hAnsi="Times New Roman" w:cs="Times New Roman"/>
          <w:sz w:val="24"/>
          <w:szCs w:val="24"/>
        </w:rPr>
        <w:t xml:space="preserve">Where a CR must establish that the marriage was entered into in good faith in order to be eligible for a waiver, USCIS </w:t>
      </w:r>
      <w:r w:rsidR="00C07AE4">
        <w:rPr>
          <w:rFonts w:ascii="Times New Roman" w:eastAsia="MS Mincho" w:hAnsi="Times New Roman" w:cs="Times New Roman"/>
          <w:sz w:val="24"/>
          <w:szCs w:val="24"/>
        </w:rPr>
        <w:t xml:space="preserve">in order to deny the petition </w:t>
      </w:r>
      <w:r>
        <w:rPr>
          <w:rFonts w:ascii="Times New Roman" w:eastAsia="MS Mincho" w:hAnsi="Times New Roman" w:cs="Times New Roman"/>
          <w:sz w:val="24"/>
          <w:szCs w:val="24"/>
        </w:rPr>
        <w:t xml:space="preserve">does not need to prove that it was a sham marriage, </w:t>
      </w:r>
      <w:r w:rsidR="00C07AE4">
        <w:rPr>
          <w:rFonts w:ascii="Times New Roman" w:eastAsia="MS Mincho" w:hAnsi="Times New Roman" w:cs="Times New Roman"/>
          <w:sz w:val="24"/>
          <w:szCs w:val="24"/>
        </w:rPr>
        <w:t xml:space="preserve">but rather </w:t>
      </w:r>
      <w:r>
        <w:rPr>
          <w:rFonts w:ascii="Times New Roman" w:eastAsia="MS Mincho" w:hAnsi="Times New Roman" w:cs="Times New Roman"/>
          <w:sz w:val="24"/>
          <w:szCs w:val="24"/>
        </w:rPr>
        <w:t xml:space="preserve">only </w:t>
      </w:r>
      <w:r w:rsidRPr="00143700">
        <w:rPr>
          <w:rFonts w:ascii="Times New Roman" w:eastAsia="MS Mincho" w:hAnsi="Times New Roman" w:cs="Times New Roman"/>
          <w:sz w:val="24"/>
          <w:szCs w:val="24"/>
        </w:rPr>
        <w:t>that the CR failed to pro</w:t>
      </w:r>
      <w:r w:rsidR="005E4247">
        <w:rPr>
          <w:rFonts w:ascii="Times New Roman" w:eastAsia="MS Mincho" w:hAnsi="Times New Roman" w:cs="Times New Roman"/>
          <w:sz w:val="24"/>
          <w:szCs w:val="24"/>
        </w:rPr>
        <w:t xml:space="preserve">ve the validity of the </w:t>
      </w:r>
      <w:r w:rsidR="00C07AE4">
        <w:rPr>
          <w:rFonts w:ascii="Times New Roman" w:eastAsia="MS Mincho" w:hAnsi="Times New Roman" w:cs="Times New Roman"/>
          <w:sz w:val="24"/>
          <w:szCs w:val="24"/>
        </w:rPr>
        <w:t>marriage</w:t>
      </w:r>
      <w:r w:rsidR="005E4247">
        <w:rPr>
          <w:rFonts w:ascii="Times New Roman" w:eastAsia="MS Mincho" w:hAnsi="Times New Roman" w:cs="Times New Roman"/>
          <w:sz w:val="24"/>
          <w:szCs w:val="24"/>
        </w:rPr>
        <w:t>.</w:t>
      </w:r>
      <w:r>
        <w:rPr>
          <w:rFonts w:ascii="Times New Roman" w:eastAsia="MS Mincho" w:hAnsi="Times New Roman" w:cs="Times New Roman"/>
          <w:sz w:val="24"/>
          <w:szCs w:val="24"/>
          <w:vertAlign w:val="superscript"/>
        </w:rPr>
        <w:t xml:space="preserve">  </w:t>
      </w:r>
      <w:r w:rsidRPr="00143700">
        <w:rPr>
          <w:rFonts w:ascii="Times New Roman" w:eastAsia="MS Mincho" w:hAnsi="Times New Roman" w:cs="Times New Roman"/>
          <w:sz w:val="24"/>
          <w:szCs w:val="24"/>
        </w:rPr>
        <w:t xml:space="preserve"> </w:t>
      </w:r>
      <w:r w:rsidR="005E4247">
        <w:rPr>
          <w:rFonts w:ascii="Times New Roman" w:eastAsia="MS Mincho" w:hAnsi="Times New Roman" w:cs="Times New Roman"/>
          <w:sz w:val="24"/>
          <w:szCs w:val="24"/>
        </w:rPr>
        <w:t>Occas</w:t>
      </w:r>
      <w:r>
        <w:rPr>
          <w:rFonts w:ascii="Times New Roman" w:eastAsia="MS Mincho" w:hAnsi="Times New Roman" w:cs="Times New Roman"/>
          <w:sz w:val="24"/>
          <w:szCs w:val="24"/>
        </w:rPr>
        <w:t>ionally, USCIS will allege that the marriage was a sham and issue a notice to revoke t</w:t>
      </w:r>
      <w:r w:rsidR="00C07AE4">
        <w:rPr>
          <w:rFonts w:ascii="Times New Roman" w:eastAsia="MS Mincho" w:hAnsi="Times New Roman" w:cs="Times New Roman"/>
          <w:sz w:val="24"/>
          <w:szCs w:val="24"/>
        </w:rPr>
        <w:t>he original I-130 visa petition; however usually does not go to this length unless there was substantial evidence of a sham marriage.</w:t>
      </w:r>
      <w:r>
        <w:rPr>
          <w:rFonts w:ascii="Times New Roman" w:eastAsia="MS Mincho" w:hAnsi="Times New Roman" w:cs="Times New Roman"/>
          <w:sz w:val="24"/>
          <w:szCs w:val="24"/>
        </w:rPr>
        <w:t xml:space="preserve">  A response to the notice </w:t>
      </w:r>
      <w:r w:rsidR="00C07AE4">
        <w:rPr>
          <w:rFonts w:ascii="Times New Roman" w:eastAsia="MS Mincho" w:hAnsi="Times New Roman" w:cs="Times New Roman"/>
          <w:sz w:val="24"/>
          <w:szCs w:val="24"/>
        </w:rPr>
        <w:t xml:space="preserve">of intent </w:t>
      </w:r>
      <w:r>
        <w:rPr>
          <w:rFonts w:ascii="Times New Roman" w:eastAsia="MS Mincho" w:hAnsi="Times New Roman" w:cs="Times New Roman"/>
          <w:sz w:val="24"/>
          <w:szCs w:val="24"/>
        </w:rPr>
        <w:t xml:space="preserve">to revoke may be </w:t>
      </w:r>
      <w:r w:rsidR="005E4247">
        <w:rPr>
          <w:rFonts w:ascii="Times New Roman" w:eastAsia="MS Mincho" w:hAnsi="Times New Roman" w:cs="Times New Roman"/>
          <w:sz w:val="24"/>
          <w:szCs w:val="24"/>
        </w:rPr>
        <w:t>attempted</w:t>
      </w:r>
      <w:r>
        <w:rPr>
          <w:rFonts w:ascii="Times New Roman" w:eastAsia="MS Mincho" w:hAnsi="Times New Roman" w:cs="Times New Roman"/>
          <w:sz w:val="24"/>
          <w:szCs w:val="24"/>
        </w:rPr>
        <w:t xml:space="preserve"> by the noncitizen; however, the petitioner is the only person who can appeal a revocation.</w:t>
      </w:r>
    </w:p>
    <w:p w:rsidR="00143700" w:rsidRPr="00143700" w:rsidRDefault="00143700" w:rsidP="00143700">
      <w:pPr>
        <w:spacing w:after="0"/>
        <w:jc w:val="both"/>
        <w:rPr>
          <w:rFonts w:ascii="Times New Roman" w:eastAsia="MS Mincho" w:hAnsi="Times New Roman" w:cs="Times New Roman"/>
          <w:sz w:val="24"/>
          <w:szCs w:val="24"/>
        </w:rPr>
      </w:pPr>
    </w:p>
    <w:p w:rsidR="00143700" w:rsidRPr="00143700" w:rsidRDefault="00143700" w:rsidP="00143700">
      <w:pPr>
        <w:spacing w:after="0"/>
        <w:jc w:val="both"/>
        <w:rPr>
          <w:rFonts w:ascii="Times New Roman" w:eastAsia="MS Mincho" w:hAnsi="Times New Roman" w:cs="Times New Roman"/>
          <w:sz w:val="24"/>
          <w:szCs w:val="24"/>
        </w:rPr>
      </w:pPr>
      <w:r w:rsidRPr="00143700">
        <w:rPr>
          <w:rFonts w:ascii="Times New Roman" w:eastAsia="MS Mincho" w:hAnsi="Times New Roman" w:cs="Times New Roman"/>
          <w:sz w:val="24"/>
          <w:szCs w:val="24"/>
        </w:rPr>
        <w:t>A good-faith marriage is generally considered one that the parties enter</w:t>
      </w:r>
      <w:r w:rsidR="00C07AE4">
        <w:rPr>
          <w:rFonts w:ascii="Times New Roman" w:eastAsia="MS Mincho" w:hAnsi="Times New Roman" w:cs="Times New Roman"/>
          <w:sz w:val="24"/>
          <w:szCs w:val="24"/>
        </w:rPr>
        <w:t>ed into</w:t>
      </w:r>
      <w:r w:rsidRPr="00143700">
        <w:rPr>
          <w:rFonts w:ascii="Times New Roman" w:eastAsia="MS Mincho" w:hAnsi="Times New Roman" w:cs="Times New Roman"/>
          <w:sz w:val="24"/>
          <w:szCs w:val="24"/>
        </w:rPr>
        <w:t xml:space="preserve"> with the intent of building a life together and not solely to confer an immigration benefit.</w:t>
      </w:r>
      <w:r w:rsidR="00CE42B7">
        <w:rPr>
          <w:rStyle w:val="FootnoteReference"/>
          <w:rFonts w:eastAsia="MS Mincho" w:cs="Times New Roman"/>
          <w:szCs w:val="24"/>
        </w:rPr>
        <w:footnoteReference w:id="13"/>
      </w:r>
      <w:r w:rsidRPr="00143700">
        <w:rPr>
          <w:rFonts w:ascii="Times New Roman" w:eastAsia="MS Mincho" w:hAnsi="Times New Roman" w:cs="Times New Roman"/>
          <w:sz w:val="24"/>
          <w:szCs w:val="24"/>
        </w:rPr>
        <w:t xml:space="preserve"> USCIS will consider evidence relating to the amount of commitment by both parties to the marital relationship. The regulations specify the evi</w:t>
      </w:r>
      <w:r w:rsidR="00AE65D0">
        <w:rPr>
          <w:rFonts w:ascii="Times New Roman" w:eastAsia="MS Mincho" w:hAnsi="Times New Roman" w:cs="Times New Roman"/>
          <w:sz w:val="24"/>
          <w:szCs w:val="24"/>
        </w:rPr>
        <w:t>dence that should be considered as</w:t>
      </w:r>
      <w:r w:rsidRPr="00143700">
        <w:rPr>
          <w:rFonts w:ascii="Times New Roman" w:eastAsia="MS Mincho" w:hAnsi="Times New Roman" w:cs="Times New Roman"/>
          <w:sz w:val="24"/>
          <w:szCs w:val="24"/>
        </w:rPr>
        <w:t xml:space="preserve"> including proof of commingling of assets, cohabitation of the parties, and children born to the couple.</w:t>
      </w:r>
      <w:r w:rsidR="00CE42B7">
        <w:rPr>
          <w:rStyle w:val="FootnoteReference"/>
          <w:rFonts w:eastAsia="MS Mincho" w:cs="Times New Roman"/>
          <w:szCs w:val="24"/>
        </w:rPr>
        <w:footnoteReference w:id="14"/>
      </w:r>
      <w:r w:rsidR="005E4247">
        <w:rPr>
          <w:rFonts w:ascii="Times New Roman" w:eastAsia="MS Mincho" w:hAnsi="Times New Roman" w:cs="Times New Roman"/>
          <w:sz w:val="24"/>
          <w:szCs w:val="24"/>
        </w:rPr>
        <w:t xml:space="preserve"> </w:t>
      </w:r>
      <w:r w:rsidRPr="00143700">
        <w:rPr>
          <w:rFonts w:ascii="Times New Roman" w:eastAsia="MS Mincho" w:hAnsi="Times New Roman" w:cs="Times New Roman"/>
          <w:sz w:val="24"/>
          <w:szCs w:val="24"/>
        </w:rPr>
        <w:t xml:space="preserve"> The regulations also provide a “catch-all” provision that instructs USCIS to consider “other evidence deemed pertinent.”</w:t>
      </w:r>
      <w:r w:rsidR="00CE42B7">
        <w:rPr>
          <w:rStyle w:val="FootnoteReference"/>
          <w:rFonts w:eastAsia="MS Mincho" w:cs="Times New Roman"/>
          <w:szCs w:val="24"/>
        </w:rPr>
        <w:footnoteReference w:id="15"/>
      </w:r>
      <w:r w:rsidR="005E4247">
        <w:rPr>
          <w:rFonts w:ascii="Times New Roman" w:eastAsia="MS Mincho" w:hAnsi="Times New Roman" w:cs="Times New Roman"/>
          <w:sz w:val="24"/>
          <w:szCs w:val="24"/>
        </w:rPr>
        <w:t xml:space="preserve">  It is important to note that </w:t>
      </w:r>
      <w:r w:rsidR="00C11A8C">
        <w:rPr>
          <w:rFonts w:ascii="Times New Roman" w:eastAsia="MS Mincho" w:hAnsi="Times New Roman" w:cs="Times New Roman"/>
          <w:sz w:val="24"/>
          <w:szCs w:val="24"/>
        </w:rPr>
        <w:t>conduct post conditional resident grant is also considered in evaluating a good-faith marriage, although it is not absolutely conclusive as to the unde</w:t>
      </w:r>
      <w:r w:rsidR="00CE42B7">
        <w:rPr>
          <w:rFonts w:ascii="Times New Roman" w:eastAsia="MS Mincho" w:hAnsi="Times New Roman" w:cs="Times New Roman"/>
          <w:sz w:val="24"/>
          <w:szCs w:val="24"/>
        </w:rPr>
        <w:t>rlying validity of the marriage, it will provide strong support either for or against approval.</w:t>
      </w:r>
      <w:r w:rsidR="005E4247">
        <w:rPr>
          <w:rFonts w:ascii="Times New Roman" w:eastAsia="MS Mincho" w:hAnsi="Times New Roman" w:cs="Times New Roman"/>
          <w:sz w:val="24"/>
          <w:szCs w:val="24"/>
        </w:rPr>
        <w:t xml:space="preserve">  </w:t>
      </w:r>
    </w:p>
    <w:p w:rsidR="00143700" w:rsidRPr="00143700" w:rsidRDefault="00143700" w:rsidP="00143700">
      <w:pPr>
        <w:spacing w:after="0"/>
        <w:jc w:val="both"/>
        <w:rPr>
          <w:rFonts w:ascii="Times New Roman" w:eastAsia="MS Mincho" w:hAnsi="Times New Roman" w:cs="Times New Roman"/>
          <w:sz w:val="24"/>
          <w:szCs w:val="24"/>
        </w:rPr>
      </w:pPr>
    </w:p>
    <w:p w:rsidR="00143700" w:rsidRDefault="00143700" w:rsidP="00143700">
      <w:pPr>
        <w:spacing w:after="0"/>
        <w:jc w:val="both"/>
        <w:rPr>
          <w:rFonts w:ascii="Times New Roman" w:eastAsia="MS Mincho" w:hAnsi="Times New Roman" w:cs="Times New Roman"/>
          <w:sz w:val="24"/>
          <w:szCs w:val="24"/>
        </w:rPr>
      </w:pPr>
      <w:r w:rsidRPr="00143700">
        <w:rPr>
          <w:rFonts w:ascii="Times New Roman" w:eastAsia="MS Mincho" w:hAnsi="Times New Roman" w:cs="Times New Roman"/>
          <w:sz w:val="24"/>
          <w:szCs w:val="24"/>
        </w:rPr>
        <w:t>Where the evidence of commingling and cohabitation might be lacking, the practitioner should utilize the catch-all provision to fill the gaps and to tell the client’s story. A detailed affidavit from the client explaining the history of the relationship and the reasons it failed is very important. Evidence of any attempts to salvage the marriage, such as counseling or therapy,</w:t>
      </w:r>
      <w:r w:rsidR="00B15086">
        <w:rPr>
          <w:rFonts w:ascii="Times New Roman" w:eastAsia="MS Mincho" w:hAnsi="Times New Roman" w:cs="Times New Roman"/>
          <w:sz w:val="24"/>
          <w:szCs w:val="24"/>
        </w:rPr>
        <w:t xml:space="preserve"> is also very persuasive. </w:t>
      </w:r>
      <w:r w:rsidRPr="00143700">
        <w:rPr>
          <w:rFonts w:ascii="Times New Roman" w:eastAsia="MS Mincho" w:hAnsi="Times New Roman" w:cs="Times New Roman"/>
          <w:sz w:val="24"/>
          <w:szCs w:val="24"/>
        </w:rPr>
        <w:t xml:space="preserve"> Moreover, detailed affidavits from individuals who are familiar with the bona fide nature of the relationship from before, during, and after the marriage and procurement of the conditional residency are strongly suggested.</w:t>
      </w:r>
      <w:r w:rsidR="001E0C0A">
        <w:rPr>
          <w:rFonts w:ascii="Times New Roman" w:eastAsia="MS Mincho" w:hAnsi="Times New Roman" w:cs="Times New Roman"/>
          <w:sz w:val="24"/>
          <w:szCs w:val="24"/>
        </w:rPr>
        <w:t xml:space="preserve">  The burden for demonstrating </w:t>
      </w:r>
      <w:r w:rsidR="00CE42B7">
        <w:rPr>
          <w:rFonts w:ascii="Times New Roman" w:eastAsia="MS Mincho" w:hAnsi="Times New Roman" w:cs="Times New Roman"/>
          <w:sz w:val="24"/>
          <w:szCs w:val="24"/>
        </w:rPr>
        <w:t xml:space="preserve">a </w:t>
      </w:r>
      <w:r w:rsidR="001E0C0A">
        <w:rPr>
          <w:rFonts w:ascii="Times New Roman" w:eastAsia="MS Mincho" w:hAnsi="Times New Roman" w:cs="Times New Roman"/>
          <w:sz w:val="24"/>
          <w:szCs w:val="24"/>
        </w:rPr>
        <w:t>good faith marriage rests with the applicant.</w:t>
      </w:r>
    </w:p>
    <w:p w:rsidR="004C584A" w:rsidRDefault="004C584A" w:rsidP="00143700">
      <w:pPr>
        <w:spacing w:after="0"/>
        <w:jc w:val="both"/>
        <w:rPr>
          <w:rFonts w:ascii="Times New Roman" w:eastAsia="MS Mincho" w:hAnsi="Times New Roman" w:cs="Times New Roman"/>
          <w:sz w:val="24"/>
          <w:szCs w:val="24"/>
        </w:rPr>
      </w:pPr>
    </w:p>
    <w:p w:rsidR="00031C4C" w:rsidRDefault="00031C4C" w:rsidP="00143700">
      <w:pPr>
        <w:spacing w:after="0"/>
        <w:jc w:val="both"/>
        <w:rPr>
          <w:rFonts w:ascii="Times New Roman" w:eastAsia="MS Mincho" w:hAnsi="Times New Roman" w:cs="Times New Roman"/>
          <w:b/>
          <w:sz w:val="24"/>
          <w:szCs w:val="24"/>
        </w:rPr>
      </w:pPr>
    </w:p>
    <w:p w:rsidR="00031C4C" w:rsidRDefault="00031C4C" w:rsidP="00143700">
      <w:pPr>
        <w:spacing w:after="0"/>
        <w:jc w:val="both"/>
        <w:rPr>
          <w:rFonts w:ascii="Times New Roman" w:eastAsia="MS Mincho" w:hAnsi="Times New Roman" w:cs="Times New Roman"/>
          <w:b/>
          <w:sz w:val="24"/>
          <w:szCs w:val="24"/>
        </w:rPr>
      </w:pPr>
    </w:p>
    <w:p w:rsidR="00031C4C" w:rsidRDefault="00031C4C" w:rsidP="00143700">
      <w:pPr>
        <w:spacing w:after="0"/>
        <w:jc w:val="both"/>
        <w:rPr>
          <w:rFonts w:ascii="Times New Roman" w:eastAsia="MS Mincho" w:hAnsi="Times New Roman" w:cs="Times New Roman"/>
          <w:b/>
          <w:sz w:val="24"/>
          <w:szCs w:val="24"/>
        </w:rPr>
      </w:pPr>
    </w:p>
    <w:p w:rsidR="004C584A" w:rsidRPr="004C584A" w:rsidRDefault="004C584A" w:rsidP="00143700">
      <w:pPr>
        <w:spacing w:after="0"/>
        <w:jc w:val="both"/>
        <w:rPr>
          <w:rFonts w:ascii="Times New Roman" w:eastAsia="MS Mincho" w:hAnsi="Times New Roman" w:cs="Times New Roman"/>
          <w:b/>
          <w:sz w:val="24"/>
          <w:szCs w:val="24"/>
        </w:rPr>
      </w:pPr>
      <w:r>
        <w:rPr>
          <w:rFonts w:ascii="Times New Roman" w:eastAsia="MS Mincho" w:hAnsi="Times New Roman" w:cs="Times New Roman"/>
          <w:b/>
          <w:sz w:val="24"/>
          <w:szCs w:val="24"/>
        </w:rPr>
        <w:lastRenderedPageBreak/>
        <w:t>ABUSE DURING MARRIAGE</w:t>
      </w:r>
    </w:p>
    <w:p w:rsidR="004C584A" w:rsidRDefault="004C584A" w:rsidP="00143700">
      <w:pPr>
        <w:spacing w:after="0"/>
        <w:jc w:val="both"/>
        <w:rPr>
          <w:rFonts w:ascii="Times New Roman" w:eastAsia="MS Mincho" w:hAnsi="Times New Roman" w:cs="Times New Roman"/>
          <w:sz w:val="24"/>
          <w:szCs w:val="24"/>
        </w:rPr>
      </w:pPr>
    </w:p>
    <w:p w:rsidR="00FF4B14" w:rsidRDefault="004C584A" w:rsidP="00FF4B14">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To be eligible under this provision it must be demonstrated that the marriage was entered in good faith but during the marriage the spouse (or child) beneficiary was battered by or was the subject of extreme cruelty perpetrated by his or her spouse </w:t>
      </w:r>
      <w:r w:rsidR="003F5A13">
        <w:rPr>
          <w:rFonts w:ascii="Times New Roman" w:eastAsia="MS Mincho" w:hAnsi="Times New Roman" w:cs="Times New Roman"/>
          <w:sz w:val="24"/>
          <w:szCs w:val="24"/>
        </w:rPr>
        <w:t xml:space="preserve">(step-parent) </w:t>
      </w:r>
      <w:r>
        <w:rPr>
          <w:rFonts w:ascii="Times New Roman" w:eastAsia="MS Mincho" w:hAnsi="Times New Roman" w:cs="Times New Roman"/>
          <w:sz w:val="24"/>
          <w:szCs w:val="24"/>
        </w:rPr>
        <w:t>and the be</w:t>
      </w:r>
      <w:r w:rsidR="003F5A13">
        <w:rPr>
          <w:rFonts w:ascii="Times New Roman" w:eastAsia="MS Mincho" w:hAnsi="Times New Roman" w:cs="Times New Roman"/>
          <w:sz w:val="24"/>
          <w:szCs w:val="24"/>
        </w:rPr>
        <w:t>neficiary i</w:t>
      </w:r>
      <w:r w:rsidR="00FF4B14">
        <w:rPr>
          <w:rFonts w:ascii="Times New Roman" w:eastAsia="MS Mincho" w:hAnsi="Times New Roman" w:cs="Times New Roman"/>
          <w:sz w:val="24"/>
          <w:szCs w:val="24"/>
        </w:rPr>
        <w:t>s not at fault in f</w:t>
      </w:r>
      <w:r>
        <w:rPr>
          <w:rFonts w:ascii="Times New Roman" w:eastAsia="MS Mincho" w:hAnsi="Times New Roman" w:cs="Times New Roman"/>
          <w:sz w:val="24"/>
          <w:szCs w:val="24"/>
        </w:rPr>
        <w:t>a</w:t>
      </w:r>
      <w:r w:rsidR="00FF4B14">
        <w:rPr>
          <w:rFonts w:ascii="Times New Roman" w:eastAsia="MS Mincho" w:hAnsi="Times New Roman" w:cs="Times New Roman"/>
          <w:sz w:val="24"/>
          <w:szCs w:val="24"/>
        </w:rPr>
        <w:t>i</w:t>
      </w:r>
      <w:r>
        <w:rPr>
          <w:rFonts w:ascii="Times New Roman" w:eastAsia="MS Mincho" w:hAnsi="Times New Roman" w:cs="Times New Roman"/>
          <w:sz w:val="24"/>
          <w:szCs w:val="24"/>
        </w:rPr>
        <w:t>ling to meet the petitioning requirements.  Divorce is not necessary</w:t>
      </w:r>
      <w:r w:rsidR="00FF4B14">
        <w:rPr>
          <w:rFonts w:ascii="Times New Roman" w:eastAsia="MS Mincho" w:hAnsi="Times New Roman" w:cs="Times New Roman"/>
          <w:sz w:val="24"/>
          <w:szCs w:val="24"/>
        </w:rPr>
        <w:t>.  Also, this provision may be asserted if a conditional resident child or any other child was the victim of such abuse, even though the parent spouse may not have been.</w:t>
      </w:r>
    </w:p>
    <w:p w:rsidR="004C584A" w:rsidRDefault="004C584A" w:rsidP="00FF4B14">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 </w:t>
      </w:r>
    </w:p>
    <w:p w:rsidR="00B15086" w:rsidRPr="00143700" w:rsidRDefault="003F5A13" w:rsidP="00FF4B14">
      <w:pPr>
        <w:spacing w:after="0"/>
        <w:jc w:val="both"/>
        <w:rPr>
          <w:rFonts w:ascii="Times New Roman" w:eastAsia="MS Mincho" w:hAnsi="Times New Roman" w:cs="Times New Roman"/>
          <w:sz w:val="24"/>
          <w:szCs w:val="24"/>
        </w:rPr>
      </w:pPr>
      <w:r>
        <w:rPr>
          <w:rFonts w:ascii="Times New Roman" w:eastAsia="MS Mincho" w:hAnsi="Times New Roman" w:cs="Times New Roman"/>
          <w:sz w:val="24"/>
          <w:szCs w:val="24"/>
        </w:rPr>
        <w:t>USCIS has defined this exception as including, but not limited to, “being the victim of any act or threatened act of violence, including any forceful detention which results or threatens to result in physical or mental injury.  Psychological or sexual abuse or exploitation … shall be considered acts of violence.</w:t>
      </w:r>
      <w:r>
        <w:rPr>
          <w:rStyle w:val="FootnoteReference"/>
          <w:rFonts w:eastAsia="MS Mincho" w:cs="Times New Roman"/>
          <w:szCs w:val="24"/>
        </w:rPr>
        <w:footnoteReference w:id="16"/>
      </w:r>
      <w:r>
        <w:rPr>
          <w:rFonts w:ascii="Times New Roman" w:eastAsia="MS Mincho" w:hAnsi="Times New Roman" w:cs="Times New Roman"/>
          <w:sz w:val="24"/>
          <w:szCs w:val="24"/>
        </w:rPr>
        <w:t xml:space="preserve">  T</w:t>
      </w:r>
      <w:r w:rsidR="004C584A" w:rsidRPr="004C584A">
        <w:rPr>
          <w:rFonts w:ascii="Times New Roman" w:eastAsia="MS Mincho" w:hAnsi="Times New Roman" w:cs="Times New Roman"/>
          <w:sz w:val="24"/>
          <w:szCs w:val="24"/>
        </w:rPr>
        <w:t>he standard for abuse in I-751 situations is the same as the one involved in VAWA self-petitioning cases.</w:t>
      </w:r>
      <w:r w:rsidR="004C584A" w:rsidRPr="004C584A">
        <w:rPr>
          <w:rFonts w:ascii="Times New Roman" w:eastAsia="MS Mincho" w:hAnsi="Times New Roman" w:cs="Times New Roman"/>
          <w:sz w:val="24"/>
          <w:szCs w:val="24"/>
          <w:vertAlign w:val="superscript"/>
        </w:rPr>
        <w:footnoteReference w:id="17"/>
      </w:r>
      <w:r w:rsidR="004C584A" w:rsidRPr="004C584A">
        <w:rPr>
          <w:rFonts w:ascii="Times New Roman" w:eastAsia="MS Mincho" w:hAnsi="Times New Roman" w:cs="Times New Roman"/>
          <w:sz w:val="24"/>
          <w:szCs w:val="24"/>
        </w:rPr>
        <w:t xml:space="preserve"> Therefore, VAWA-based cases are helpful in determining what constitutes “extreme cruelty” or “battery.” The </w:t>
      </w:r>
      <w:r w:rsidR="004C584A" w:rsidRPr="004C584A">
        <w:rPr>
          <w:rFonts w:ascii="Times New Roman" w:eastAsia="MS Mincho" w:hAnsi="Times New Roman" w:cs="Times New Roman"/>
          <w:i/>
          <w:sz w:val="24"/>
          <w:szCs w:val="24"/>
        </w:rPr>
        <w:t>Hernandez v. Ashcroft</w:t>
      </w:r>
      <w:r w:rsidR="004C584A" w:rsidRPr="004C584A">
        <w:rPr>
          <w:rFonts w:ascii="Times New Roman" w:eastAsia="MS Mincho" w:hAnsi="Times New Roman" w:cs="Times New Roman"/>
          <w:sz w:val="24"/>
          <w:szCs w:val="24"/>
          <w:vertAlign w:val="superscript"/>
        </w:rPr>
        <w:footnoteReference w:id="18"/>
      </w:r>
      <w:r w:rsidR="004C584A" w:rsidRPr="004C584A">
        <w:rPr>
          <w:rFonts w:ascii="Times New Roman" w:eastAsia="MS Mincho" w:hAnsi="Times New Roman" w:cs="Times New Roman"/>
          <w:sz w:val="24"/>
          <w:szCs w:val="24"/>
        </w:rPr>
        <w:t xml:space="preserve"> court held that a </w:t>
      </w:r>
      <w:r w:rsidR="004C584A" w:rsidRPr="004C584A">
        <w:rPr>
          <w:rFonts w:ascii="Cambria" w:eastAsia="MS Mincho" w:hAnsi="Cambria" w:cs="Times New Roman"/>
          <w:sz w:val="24"/>
          <w:szCs w:val="24"/>
        </w:rPr>
        <w:t>noncitizen</w:t>
      </w:r>
      <w:r w:rsidR="004C584A" w:rsidRPr="004C584A">
        <w:rPr>
          <w:rFonts w:ascii="Times New Roman" w:eastAsia="MS Mincho" w:hAnsi="Times New Roman" w:cs="Times New Roman"/>
          <w:sz w:val="24"/>
          <w:szCs w:val="24"/>
        </w:rPr>
        <w:t xml:space="preserve"> was subjected to extreme cruelty in the </w:t>
      </w:r>
      <w:smartTag w:uri="urn:schemas-microsoft-com:office:smarttags" w:element="country-region">
        <w:r w:rsidR="004C584A" w:rsidRPr="004C584A">
          <w:rPr>
            <w:rFonts w:ascii="Times New Roman" w:eastAsia="MS Mincho" w:hAnsi="Times New Roman" w:cs="Times New Roman"/>
            <w:sz w:val="24"/>
            <w:szCs w:val="24"/>
          </w:rPr>
          <w:t>United States</w:t>
        </w:r>
      </w:smartTag>
      <w:r w:rsidR="004C584A" w:rsidRPr="004C584A">
        <w:rPr>
          <w:rFonts w:ascii="Times New Roman" w:eastAsia="MS Mincho" w:hAnsi="Times New Roman" w:cs="Times New Roman"/>
          <w:sz w:val="24"/>
          <w:szCs w:val="24"/>
        </w:rPr>
        <w:t xml:space="preserve"> when her abusive husband continuously called her, promised to not hurt her again, and lured her back to his home in </w:t>
      </w:r>
      <w:smartTag w:uri="urn:schemas-microsoft-com:office:smarttags" w:element="country-region">
        <w:r w:rsidR="004C584A" w:rsidRPr="004C584A">
          <w:rPr>
            <w:rFonts w:ascii="Times New Roman" w:eastAsia="MS Mincho" w:hAnsi="Times New Roman" w:cs="Times New Roman"/>
            <w:sz w:val="24"/>
            <w:szCs w:val="24"/>
          </w:rPr>
          <w:t>Mexico</w:t>
        </w:r>
      </w:smartTag>
      <w:r w:rsidR="004C584A" w:rsidRPr="004C584A">
        <w:rPr>
          <w:rFonts w:ascii="Times New Roman" w:eastAsia="MS Mincho" w:hAnsi="Times New Roman" w:cs="Times New Roman"/>
          <w:sz w:val="24"/>
          <w:szCs w:val="24"/>
        </w:rPr>
        <w:t xml:space="preserve"> after she had fled to her sister’s home in the </w:t>
      </w:r>
      <w:smartTag w:uri="urn:schemas-microsoft-com:office:smarttags" w:element="country-region">
        <w:smartTag w:uri="urn:schemas-microsoft-com:office:smarttags" w:element="place">
          <w:r w:rsidR="004C584A" w:rsidRPr="004C584A">
            <w:rPr>
              <w:rFonts w:ascii="Times New Roman" w:eastAsia="MS Mincho" w:hAnsi="Times New Roman" w:cs="Times New Roman"/>
              <w:sz w:val="24"/>
              <w:szCs w:val="24"/>
            </w:rPr>
            <w:t>United States</w:t>
          </w:r>
        </w:smartTag>
      </w:smartTag>
      <w:r w:rsidR="004C584A" w:rsidRPr="004C584A">
        <w:rPr>
          <w:rFonts w:ascii="Times New Roman" w:eastAsia="MS Mincho" w:hAnsi="Times New Roman" w:cs="Times New Roman"/>
          <w:sz w:val="24"/>
          <w:szCs w:val="24"/>
        </w:rPr>
        <w:t xml:space="preserve">. The </w:t>
      </w:r>
      <w:r w:rsidR="004C584A" w:rsidRPr="004C584A">
        <w:rPr>
          <w:rFonts w:ascii="Times New Roman" w:eastAsia="MS Mincho" w:hAnsi="Times New Roman" w:cs="Times New Roman"/>
          <w:i/>
          <w:sz w:val="24"/>
          <w:szCs w:val="24"/>
        </w:rPr>
        <w:t>Perales-Cumpean v. Gonzales</w:t>
      </w:r>
      <w:r w:rsidR="004C584A" w:rsidRPr="004C584A">
        <w:rPr>
          <w:rFonts w:ascii="Times New Roman" w:eastAsia="MS Mincho" w:hAnsi="Times New Roman" w:cs="Times New Roman"/>
          <w:sz w:val="24"/>
          <w:szCs w:val="24"/>
        </w:rPr>
        <w:t xml:space="preserve"> court stated that “marital rape clearly falls within any reasonable definition of battery,”</w:t>
      </w:r>
      <w:r w:rsidR="004C584A" w:rsidRPr="004C584A">
        <w:rPr>
          <w:rFonts w:ascii="Times New Roman" w:eastAsia="MS Mincho" w:hAnsi="Times New Roman" w:cs="Times New Roman"/>
          <w:sz w:val="24"/>
          <w:szCs w:val="24"/>
          <w:vertAlign w:val="superscript"/>
        </w:rPr>
        <w:footnoteReference w:id="19"/>
      </w:r>
      <w:r w:rsidR="004C584A" w:rsidRPr="004C584A">
        <w:rPr>
          <w:rFonts w:ascii="Times New Roman" w:eastAsia="MS Mincho" w:hAnsi="Times New Roman" w:cs="Times New Roman"/>
          <w:sz w:val="24"/>
          <w:szCs w:val="24"/>
        </w:rPr>
        <w:t xml:space="preserve"> but the IJ in that case also had determined that verbal abuse in the form of derogatory remarks, anger, and jealousy rose to the level of extreme cruelty.</w:t>
      </w:r>
      <w:r w:rsidR="004C584A" w:rsidRPr="004C584A">
        <w:rPr>
          <w:rFonts w:ascii="Times New Roman" w:eastAsia="MS Mincho" w:hAnsi="Times New Roman" w:cs="Times New Roman"/>
          <w:sz w:val="24"/>
          <w:szCs w:val="24"/>
          <w:vertAlign w:val="superscript"/>
        </w:rPr>
        <w:footnoteReference w:id="20"/>
      </w:r>
      <w:r w:rsidR="004C584A" w:rsidRPr="004C584A">
        <w:rPr>
          <w:rFonts w:ascii="Times New Roman" w:eastAsia="MS Mincho" w:hAnsi="Times New Roman" w:cs="Times New Roman"/>
          <w:sz w:val="24"/>
          <w:szCs w:val="24"/>
        </w:rPr>
        <w:t xml:space="preserve">  On the other hand, the IJ in </w:t>
      </w:r>
      <w:r w:rsidR="004C584A" w:rsidRPr="004C584A">
        <w:rPr>
          <w:rFonts w:ascii="Times New Roman" w:eastAsia="MS Mincho" w:hAnsi="Times New Roman" w:cs="Times New Roman"/>
          <w:i/>
          <w:sz w:val="24"/>
          <w:szCs w:val="24"/>
        </w:rPr>
        <w:t>Bedoya-Melendez</w:t>
      </w:r>
      <w:r w:rsidR="004C584A" w:rsidRPr="004C584A">
        <w:rPr>
          <w:rFonts w:ascii="Times New Roman" w:eastAsia="MS Mincho" w:hAnsi="Times New Roman" w:cs="Times New Roman"/>
          <w:sz w:val="24"/>
          <w:szCs w:val="24"/>
          <w:vertAlign w:val="superscript"/>
        </w:rPr>
        <w:footnoteReference w:id="21"/>
      </w:r>
      <w:r w:rsidR="004C584A" w:rsidRPr="004C584A">
        <w:rPr>
          <w:rFonts w:ascii="Times New Roman" w:eastAsia="MS Mincho" w:hAnsi="Times New Roman" w:cs="Times New Roman"/>
          <w:sz w:val="24"/>
          <w:szCs w:val="24"/>
        </w:rPr>
        <w:t xml:space="preserve"> held that a wife’s actions of slapping her husband, filing numerous frivolous lawsuits against him, and leading him to falsely believe he had HIV did not rise to the level of extreme cruelty or battery. It is important to note that a number of courts have held that the extreme cruelty and battery requirements do not provide any objective legal standard on which a court can base its review, and therefore the BIA lacks jurisdiction to review an IJ’s discretionary determination that a certain act does, or does not, constitute extreme cruelty or bat</w:t>
      </w:r>
      <w:r w:rsidR="00FF4B14">
        <w:rPr>
          <w:rFonts w:ascii="Times New Roman" w:eastAsia="MS Mincho" w:hAnsi="Times New Roman" w:cs="Times New Roman"/>
          <w:sz w:val="24"/>
          <w:szCs w:val="24"/>
        </w:rPr>
        <w:t>tery.</w:t>
      </w:r>
      <w:r>
        <w:rPr>
          <w:rStyle w:val="FootnoteReference"/>
          <w:rFonts w:eastAsia="MS Mincho" w:cs="Times New Roman"/>
          <w:szCs w:val="24"/>
        </w:rPr>
        <w:footnoteReference w:id="22"/>
      </w:r>
    </w:p>
    <w:p w:rsidR="00FB7BB2" w:rsidRPr="00A31DF8" w:rsidRDefault="00FB7BB2" w:rsidP="00FB7BB2">
      <w:pPr>
        <w:spacing w:before="100" w:beforeAutospacing="1" w:after="100" w:afterAutospacing="1" w:line="240" w:lineRule="auto"/>
        <w:rPr>
          <w:rFonts w:ascii="Times New Roman" w:eastAsia="MS Mincho" w:hAnsi="Times New Roman" w:cs="Times New Roman"/>
          <w:color w:val="000000" w:themeColor="text1"/>
          <w:sz w:val="24"/>
          <w:szCs w:val="24"/>
        </w:rPr>
      </w:pPr>
      <w:r>
        <w:rPr>
          <w:rFonts w:ascii="Times New Roman" w:eastAsia="MS Mincho" w:hAnsi="Times New Roman" w:cs="Times New Roman"/>
          <w:color w:val="000000" w:themeColor="text1"/>
          <w:sz w:val="24"/>
          <w:szCs w:val="24"/>
        </w:rPr>
        <w:t xml:space="preserve"> </w:t>
      </w:r>
    </w:p>
    <w:p w:rsidR="00A31DF8" w:rsidRPr="00A31DF8" w:rsidRDefault="00A31DF8" w:rsidP="00A31DF8">
      <w:pPr>
        <w:spacing w:before="100" w:beforeAutospacing="1" w:after="100" w:afterAutospacing="1" w:line="240" w:lineRule="auto"/>
        <w:jc w:val="both"/>
        <w:rPr>
          <w:rFonts w:ascii="Times New Roman" w:eastAsia="MS Mincho" w:hAnsi="Times New Roman" w:cs="Times New Roman"/>
          <w:color w:val="000000" w:themeColor="text1"/>
          <w:sz w:val="24"/>
          <w:szCs w:val="24"/>
        </w:rPr>
      </w:pPr>
    </w:p>
    <w:p w:rsidR="00C34C25" w:rsidRDefault="00C34C25" w:rsidP="00255E15"/>
    <w:sectPr w:rsidR="00C34C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0C5" w:rsidRDefault="000900C5" w:rsidP="00DA40BF">
      <w:pPr>
        <w:spacing w:after="0" w:line="240" w:lineRule="auto"/>
      </w:pPr>
      <w:r>
        <w:separator/>
      </w:r>
    </w:p>
  </w:endnote>
  <w:endnote w:type="continuationSeparator" w:id="0">
    <w:p w:rsidR="000900C5" w:rsidRDefault="000900C5" w:rsidP="00DA4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0C5" w:rsidRDefault="000900C5" w:rsidP="00DA40BF">
      <w:pPr>
        <w:spacing w:after="0" w:line="240" w:lineRule="auto"/>
      </w:pPr>
      <w:r>
        <w:separator/>
      </w:r>
    </w:p>
  </w:footnote>
  <w:footnote w:type="continuationSeparator" w:id="0">
    <w:p w:rsidR="000900C5" w:rsidRDefault="000900C5" w:rsidP="00DA40BF">
      <w:pPr>
        <w:spacing w:after="0" w:line="240" w:lineRule="auto"/>
      </w:pPr>
      <w:r>
        <w:continuationSeparator/>
      </w:r>
    </w:p>
  </w:footnote>
  <w:footnote w:id="1">
    <w:p w:rsidR="00FA5036" w:rsidRDefault="00FA5036">
      <w:pPr>
        <w:pStyle w:val="FootnoteText"/>
      </w:pPr>
      <w:r>
        <w:rPr>
          <w:rStyle w:val="FootnoteReference"/>
        </w:rPr>
        <w:footnoteRef/>
      </w:r>
      <w:r>
        <w:t xml:space="preserve"> INA Sec. 216</w:t>
      </w:r>
      <w:r w:rsidR="00FE6EFF">
        <w:t>.</w:t>
      </w:r>
    </w:p>
  </w:footnote>
  <w:footnote w:id="2">
    <w:p w:rsidR="00FA5036" w:rsidRDefault="00FA5036">
      <w:pPr>
        <w:pStyle w:val="FootnoteText"/>
      </w:pPr>
      <w:r>
        <w:rPr>
          <w:rStyle w:val="FootnoteReference"/>
        </w:rPr>
        <w:footnoteRef/>
      </w:r>
      <w:r>
        <w:t xml:space="preserve"> INA Sec. 216(c)</w:t>
      </w:r>
      <w:r w:rsidR="00FE6EFF">
        <w:t>.</w:t>
      </w:r>
    </w:p>
  </w:footnote>
  <w:footnote w:id="3">
    <w:p w:rsidR="00FE6EFF" w:rsidRDefault="00FE6EFF">
      <w:pPr>
        <w:pStyle w:val="FootnoteText"/>
      </w:pPr>
      <w:r>
        <w:rPr>
          <w:rStyle w:val="FootnoteReference"/>
        </w:rPr>
        <w:footnoteRef/>
      </w:r>
      <w:r>
        <w:t xml:space="preserve"> 8 CFR 216.4(a)(1).</w:t>
      </w:r>
    </w:p>
  </w:footnote>
  <w:footnote w:id="4">
    <w:p w:rsidR="00FE6EFF" w:rsidRDefault="00FE6EFF">
      <w:pPr>
        <w:pStyle w:val="FootnoteText"/>
      </w:pPr>
      <w:r>
        <w:rPr>
          <w:rStyle w:val="FootnoteReference"/>
        </w:rPr>
        <w:footnoteRef/>
      </w:r>
      <w:r>
        <w:t xml:space="preserve"> See USCIS Memorandum, D. Neufeld, “Adjudication of Form I-751, </w:t>
      </w:r>
      <w:r w:rsidRPr="00FE6EFF">
        <w:rPr>
          <w:i/>
        </w:rPr>
        <w:t>Petition to Remove Conditions on Residence</w:t>
      </w:r>
      <w:r>
        <w:t xml:space="preserve"> (Oct. 9, 2009), published on AILA InfoNet at Doc. No. 09110667.</w:t>
      </w:r>
    </w:p>
  </w:footnote>
  <w:footnote w:id="5">
    <w:p w:rsidR="00FE6EFF" w:rsidRDefault="00FE6EFF">
      <w:pPr>
        <w:pStyle w:val="FootnoteText"/>
      </w:pPr>
      <w:r>
        <w:rPr>
          <w:rStyle w:val="FootnoteReference"/>
        </w:rPr>
        <w:footnoteRef/>
      </w:r>
      <w:r>
        <w:t xml:space="preserve"> INA Sec. 216(c)(4).</w:t>
      </w:r>
    </w:p>
  </w:footnote>
  <w:footnote w:id="6">
    <w:p w:rsidR="00B15086" w:rsidRPr="00AE16CF" w:rsidRDefault="00B15086" w:rsidP="00B15086">
      <w:pPr>
        <w:pStyle w:val="FootnoteText"/>
        <w:rPr>
          <w:lang w:val="es-ES_tradnl"/>
        </w:rPr>
      </w:pPr>
      <w:r w:rsidRPr="00AE16CF">
        <w:rPr>
          <w:rStyle w:val="FootnoteReference"/>
        </w:rPr>
        <w:footnoteRef/>
      </w:r>
      <w:r w:rsidRPr="00AE16CF">
        <w:rPr>
          <w:lang w:val="es-ES_tradnl"/>
        </w:rPr>
        <w:t xml:space="preserve"> 25 I&amp;N</w:t>
      </w:r>
      <w:r w:rsidRPr="00AE16CF">
        <w:rPr>
          <w:i/>
          <w:lang w:val="es-ES_tradnl"/>
        </w:rPr>
        <w:t xml:space="preserve"> </w:t>
      </w:r>
      <w:r w:rsidRPr="00AE16CF">
        <w:rPr>
          <w:lang w:val="es-ES_tradnl"/>
        </w:rPr>
        <w:t>Dec. 181, 182 (BIA 2010)</w:t>
      </w:r>
      <w:r>
        <w:rPr>
          <w:lang w:val="es-ES_tradnl"/>
        </w:rPr>
        <w:t>.</w:t>
      </w:r>
    </w:p>
  </w:footnote>
  <w:footnote w:id="7">
    <w:p w:rsidR="00B15086" w:rsidRPr="00AE16CF" w:rsidRDefault="00B15086" w:rsidP="00B15086">
      <w:pPr>
        <w:pStyle w:val="FootnoteText"/>
        <w:rPr>
          <w:i/>
          <w:lang w:val="es-ES_tradnl"/>
        </w:rPr>
      </w:pPr>
      <w:r w:rsidRPr="00AE16CF">
        <w:rPr>
          <w:rStyle w:val="FootnoteReference"/>
        </w:rPr>
        <w:footnoteRef/>
      </w:r>
      <w:r w:rsidRPr="00AE16CF">
        <w:rPr>
          <w:lang w:val="es-ES_tradnl"/>
        </w:rPr>
        <w:t xml:space="preserve"> </w:t>
      </w:r>
      <w:r w:rsidRPr="00AE16CF">
        <w:rPr>
          <w:i/>
          <w:lang w:val="es-ES_tradnl"/>
        </w:rPr>
        <w:t>Id.</w:t>
      </w:r>
    </w:p>
  </w:footnote>
  <w:footnote w:id="8">
    <w:p w:rsidR="00A31DF8" w:rsidRPr="00B06CF7" w:rsidRDefault="00A31DF8" w:rsidP="00A31DF8">
      <w:pPr>
        <w:pStyle w:val="FootnoteText"/>
        <w:jc w:val="both"/>
      </w:pPr>
      <w:r w:rsidRPr="00B06CF7">
        <w:rPr>
          <w:rStyle w:val="FootnoteReference"/>
        </w:rPr>
        <w:footnoteRef/>
      </w:r>
      <w:r w:rsidRPr="00B06CF7">
        <w:t xml:space="preserve"> </w:t>
      </w:r>
      <w:r w:rsidRPr="00B06CF7">
        <w:rPr>
          <w:i/>
          <w:iCs/>
        </w:rPr>
        <w:t>See</w:t>
      </w:r>
      <w:r w:rsidRPr="00B06CF7">
        <w:t xml:space="preserve"> USCIS Memorandum, D. Neufeld, “</w:t>
      </w:r>
      <w:r w:rsidRPr="00FE6EFF">
        <w:rPr>
          <w:i/>
        </w:rPr>
        <w:t>I-751 Filed Prior to Termination of Marriage</w:t>
      </w:r>
      <w:r w:rsidRPr="00B06CF7">
        <w:t xml:space="preserve">” (Apr. 3, 2009), </w:t>
      </w:r>
      <w:r w:rsidRPr="00B06CF7">
        <w:rPr>
          <w:i/>
        </w:rPr>
        <w:t>published on</w:t>
      </w:r>
      <w:r w:rsidRPr="00B06CF7">
        <w:t xml:space="preserve"> AILA InfoNet at Doc. No. 09072166.</w:t>
      </w:r>
    </w:p>
    <w:p w:rsidR="00A31DF8" w:rsidRDefault="00A31DF8" w:rsidP="00A31DF8">
      <w:pPr>
        <w:pStyle w:val="FootnoteText"/>
      </w:pPr>
    </w:p>
  </w:footnote>
  <w:footnote w:id="9">
    <w:p w:rsidR="00E4748A" w:rsidRDefault="00E4748A">
      <w:pPr>
        <w:pStyle w:val="FootnoteText"/>
      </w:pPr>
      <w:r>
        <w:rPr>
          <w:rStyle w:val="FootnoteReference"/>
        </w:rPr>
        <w:footnoteRef/>
      </w:r>
      <w:r w:rsidR="00C07AE4">
        <w:t xml:space="preserve"> </w:t>
      </w:r>
      <w:r w:rsidR="00C07AE4" w:rsidRPr="00C07AE4">
        <w:rPr>
          <w:i/>
        </w:rPr>
        <w:t>Matter of Singh</w:t>
      </w:r>
      <w:r w:rsidR="00C07AE4">
        <w:t>, 24 I&amp;N Dec. 331 (BIA 2007)</w:t>
      </w:r>
      <w:r>
        <w:t>.</w:t>
      </w:r>
    </w:p>
  </w:footnote>
  <w:footnote w:id="10">
    <w:p w:rsidR="00E4748A" w:rsidRDefault="00E4748A">
      <w:pPr>
        <w:pStyle w:val="FootnoteText"/>
      </w:pPr>
      <w:r>
        <w:rPr>
          <w:rStyle w:val="FootnoteReference"/>
        </w:rPr>
        <w:footnoteRef/>
      </w:r>
      <w:r>
        <w:t xml:space="preserve"> The regulations contain a list of 14 factors to be considered when evaluating extreme hardship for NACARA applications.8 CFR 1240.58(b).   This is a good place to start in preparing any application requiring a showing of hardship. </w:t>
      </w:r>
    </w:p>
  </w:footnote>
  <w:footnote w:id="11">
    <w:p w:rsidR="00C07AE4" w:rsidRDefault="00C07AE4">
      <w:pPr>
        <w:pStyle w:val="FootnoteText"/>
      </w:pPr>
      <w:r>
        <w:rPr>
          <w:rStyle w:val="FootnoteReference"/>
        </w:rPr>
        <w:footnoteRef/>
      </w:r>
      <w:r>
        <w:t xml:space="preserve"> </w:t>
      </w:r>
      <w:r w:rsidRPr="00C07AE4">
        <w:rPr>
          <w:i/>
        </w:rPr>
        <w:t>Waggoner v. Gonzalez</w:t>
      </w:r>
      <w:r>
        <w:t>, 488 F.3d 632, 634-38, (5</w:t>
      </w:r>
      <w:r w:rsidRPr="00C07AE4">
        <w:rPr>
          <w:vertAlign w:val="superscript"/>
        </w:rPr>
        <w:t>th</w:t>
      </w:r>
      <w:r>
        <w:t xml:space="preserve"> Cir. 2007).</w:t>
      </w:r>
    </w:p>
  </w:footnote>
  <w:footnote w:id="12">
    <w:p w:rsidR="00CE42B7" w:rsidRDefault="00CE42B7">
      <w:pPr>
        <w:pStyle w:val="FootnoteText"/>
      </w:pPr>
      <w:r>
        <w:rPr>
          <w:rStyle w:val="FootnoteReference"/>
        </w:rPr>
        <w:footnoteRef/>
      </w:r>
      <w:r>
        <w:t xml:space="preserve"> </w:t>
      </w:r>
      <w:r w:rsidRPr="00CE42B7">
        <w:rPr>
          <w:i/>
        </w:rPr>
        <w:t>Velazquez v. INS</w:t>
      </w:r>
      <w:r>
        <w:t>, 876 F. Supp. 1071, 1075-78 (D.Minn. 1995).</w:t>
      </w:r>
    </w:p>
  </w:footnote>
  <w:footnote w:id="13">
    <w:p w:rsidR="00CE42B7" w:rsidRDefault="00CE42B7">
      <w:pPr>
        <w:pStyle w:val="FootnoteText"/>
      </w:pPr>
      <w:r>
        <w:rPr>
          <w:rStyle w:val="FootnoteReference"/>
        </w:rPr>
        <w:footnoteRef/>
      </w:r>
      <w:r>
        <w:t xml:space="preserve"> </w:t>
      </w:r>
      <w:r w:rsidRPr="00CE42B7">
        <w:rPr>
          <w:i/>
        </w:rPr>
        <w:t>Matter of Soriano</w:t>
      </w:r>
      <w:r>
        <w:t>, 19 I&amp;N Dec. 764 (BIA 1988).</w:t>
      </w:r>
    </w:p>
  </w:footnote>
  <w:footnote w:id="14">
    <w:p w:rsidR="00CE42B7" w:rsidRDefault="00CE42B7">
      <w:pPr>
        <w:pStyle w:val="FootnoteText"/>
      </w:pPr>
      <w:r>
        <w:rPr>
          <w:rStyle w:val="FootnoteReference"/>
        </w:rPr>
        <w:footnoteRef/>
      </w:r>
      <w:r>
        <w:t xml:space="preserve"> 8 CFR sec. 216.5(e)(2)(i)-(iii).</w:t>
      </w:r>
    </w:p>
  </w:footnote>
  <w:footnote w:id="15">
    <w:p w:rsidR="00CE42B7" w:rsidRDefault="00CE42B7">
      <w:pPr>
        <w:pStyle w:val="FootnoteText"/>
      </w:pPr>
      <w:r>
        <w:rPr>
          <w:rStyle w:val="FootnoteReference"/>
        </w:rPr>
        <w:footnoteRef/>
      </w:r>
      <w:r>
        <w:t xml:space="preserve"> 8 CFR sec. 216.5(e)(iv).</w:t>
      </w:r>
    </w:p>
  </w:footnote>
  <w:footnote w:id="16">
    <w:p w:rsidR="003F5A13" w:rsidRDefault="003F5A13">
      <w:pPr>
        <w:pStyle w:val="FootnoteText"/>
      </w:pPr>
      <w:r>
        <w:rPr>
          <w:rStyle w:val="FootnoteReference"/>
        </w:rPr>
        <w:footnoteRef/>
      </w:r>
      <w:r>
        <w:t xml:space="preserve"> 8 CFR Sec. 216.5(e)(3)(i).</w:t>
      </w:r>
    </w:p>
  </w:footnote>
  <w:footnote w:id="17">
    <w:p w:rsidR="004C584A" w:rsidRPr="0038602E" w:rsidRDefault="004C584A" w:rsidP="004C584A">
      <w:pPr>
        <w:pStyle w:val="FootnoteText"/>
        <w:jc w:val="both"/>
      </w:pPr>
      <w:r w:rsidRPr="0038602E">
        <w:rPr>
          <w:rStyle w:val="FootnoteReference"/>
        </w:rPr>
        <w:footnoteRef/>
      </w:r>
      <w:r w:rsidRPr="0038602E">
        <w:t xml:space="preserve"> </w:t>
      </w:r>
      <w:r w:rsidRPr="0038602E">
        <w:rPr>
          <w:i/>
        </w:rPr>
        <w:t xml:space="preserve">Compare </w:t>
      </w:r>
      <w:r w:rsidRPr="0038602E">
        <w:t xml:space="preserve">INA </w:t>
      </w:r>
      <w:r w:rsidRPr="0038602E">
        <w:rPr>
          <w:color w:val="000000"/>
        </w:rPr>
        <w:t>§</w:t>
      </w:r>
      <w:r w:rsidRPr="0038602E">
        <w:t>216.5(e)(3)</w:t>
      </w:r>
      <w:r w:rsidRPr="0038602E">
        <w:rPr>
          <w:i/>
        </w:rPr>
        <w:t xml:space="preserve"> with </w:t>
      </w:r>
      <w:r w:rsidRPr="0038602E">
        <w:t xml:space="preserve">INA </w:t>
      </w:r>
      <w:r w:rsidRPr="0038602E">
        <w:rPr>
          <w:color w:val="000000"/>
        </w:rPr>
        <w:t>§</w:t>
      </w:r>
      <w:r w:rsidRPr="0038602E">
        <w:t>204.2</w:t>
      </w:r>
      <w:r w:rsidRPr="0038602E">
        <w:rPr>
          <w:color w:val="000000"/>
        </w:rPr>
        <w:t>(c)(1)(i)(E)</w:t>
      </w:r>
      <w:r w:rsidRPr="0038602E">
        <w:t xml:space="preserve">. </w:t>
      </w:r>
      <w:r w:rsidRPr="0038602E">
        <w:rPr>
          <w:i/>
        </w:rPr>
        <w:t xml:space="preserve">See also </w:t>
      </w:r>
      <w:r w:rsidRPr="0038602E">
        <w:t>S</w:t>
      </w:r>
      <w:r>
        <w:t>.</w:t>
      </w:r>
      <w:r w:rsidRPr="0038602E">
        <w:t xml:space="preserve"> Brown </w:t>
      </w:r>
      <w:r w:rsidRPr="0038602E">
        <w:rPr>
          <w:i/>
        </w:rPr>
        <w:t>et al</w:t>
      </w:r>
      <w:r w:rsidRPr="0038602E">
        <w:t xml:space="preserve">., </w:t>
      </w:r>
      <w:r>
        <w:t>“</w:t>
      </w:r>
      <w:r w:rsidRPr="0038602E">
        <w:t>Conditional Residence Marriage Cases: Joint Petitions and Waivers,</w:t>
      </w:r>
      <w:r>
        <w:t>”</w:t>
      </w:r>
      <w:r w:rsidRPr="0038602E">
        <w:t xml:space="preserve"> </w:t>
      </w:r>
      <w:r w:rsidRPr="0038602E">
        <w:rPr>
          <w:i/>
        </w:rPr>
        <w:t>Immigration Practice Pointers</w:t>
      </w:r>
      <w:r w:rsidRPr="0038602E">
        <w:t xml:space="preserve"> 690, 692 n.26 (</w:t>
      </w:r>
      <w:r>
        <w:t xml:space="preserve">AILA </w:t>
      </w:r>
      <w:r w:rsidRPr="0038602E">
        <w:t>2010</w:t>
      </w:r>
      <w:r>
        <w:t xml:space="preserve"> E</w:t>
      </w:r>
      <w:r w:rsidRPr="0038602E">
        <w:t>d.).</w:t>
      </w:r>
    </w:p>
  </w:footnote>
  <w:footnote w:id="18">
    <w:p w:rsidR="004C584A" w:rsidRPr="0038602E" w:rsidRDefault="004C584A" w:rsidP="004C584A">
      <w:pPr>
        <w:pStyle w:val="FootnoteText"/>
        <w:jc w:val="both"/>
      </w:pPr>
      <w:r w:rsidRPr="0038602E">
        <w:rPr>
          <w:rStyle w:val="FootnoteReference"/>
        </w:rPr>
        <w:footnoteRef/>
      </w:r>
      <w:r w:rsidRPr="0038602E">
        <w:t xml:space="preserve"> </w:t>
      </w:r>
      <w:r w:rsidRPr="0038602E">
        <w:rPr>
          <w:bCs/>
          <w:color w:val="000000"/>
          <w:shd w:val="clear" w:color="auto" w:fill="FFFFFF"/>
        </w:rPr>
        <w:t>345 F.3d 824, 841 (9th Cir. 2003).</w:t>
      </w:r>
    </w:p>
  </w:footnote>
  <w:footnote w:id="19">
    <w:p w:rsidR="004C584A" w:rsidRPr="0038602E" w:rsidRDefault="004C584A" w:rsidP="004C584A">
      <w:pPr>
        <w:pStyle w:val="FootnoteText"/>
        <w:jc w:val="both"/>
      </w:pPr>
      <w:r w:rsidRPr="0038602E">
        <w:rPr>
          <w:rStyle w:val="FootnoteReference"/>
        </w:rPr>
        <w:footnoteRef/>
      </w:r>
      <w:r w:rsidRPr="0038602E">
        <w:t xml:space="preserve"> 429 F.3d 977, 984 (10th Cir. 2005).</w:t>
      </w:r>
    </w:p>
  </w:footnote>
  <w:footnote w:id="20">
    <w:p w:rsidR="004C584A" w:rsidRPr="0038602E" w:rsidRDefault="004C584A" w:rsidP="004C584A">
      <w:pPr>
        <w:pStyle w:val="FootnoteText"/>
        <w:jc w:val="both"/>
        <w:rPr>
          <w:i/>
        </w:rPr>
      </w:pPr>
      <w:r w:rsidRPr="0038602E">
        <w:rPr>
          <w:rStyle w:val="FootnoteReference"/>
        </w:rPr>
        <w:footnoteRef/>
      </w:r>
      <w:r w:rsidRPr="0038602E">
        <w:t xml:space="preserve"> </w:t>
      </w:r>
      <w:smartTag w:uri="urn:schemas-microsoft-com:office:smarttags" w:element="place">
        <w:smartTag w:uri="urn:schemas-microsoft-com:office:smarttags" w:element="State">
          <w:r w:rsidRPr="0038602E">
            <w:rPr>
              <w:i/>
            </w:rPr>
            <w:t>Id.</w:t>
          </w:r>
        </w:smartTag>
      </w:smartTag>
    </w:p>
  </w:footnote>
  <w:footnote w:id="21">
    <w:p w:rsidR="004C584A" w:rsidRPr="0038602E" w:rsidRDefault="004C584A" w:rsidP="004C584A">
      <w:pPr>
        <w:pStyle w:val="FootnoteText"/>
        <w:jc w:val="both"/>
      </w:pPr>
      <w:r w:rsidRPr="0038602E">
        <w:rPr>
          <w:rStyle w:val="FootnoteReference"/>
        </w:rPr>
        <w:footnoteRef/>
      </w:r>
      <w:r w:rsidRPr="0038602E">
        <w:t xml:space="preserve"> </w:t>
      </w:r>
      <w:r w:rsidRPr="0038602E">
        <w:rPr>
          <w:i/>
        </w:rPr>
        <w:t>See Bedoya-Melendez v. Att</w:t>
      </w:r>
      <w:r>
        <w:rPr>
          <w:i/>
        </w:rPr>
        <w:t>’</w:t>
      </w:r>
      <w:r w:rsidRPr="0038602E">
        <w:rPr>
          <w:i/>
        </w:rPr>
        <w:t>y Gen.</w:t>
      </w:r>
      <w:r w:rsidRPr="0038602E">
        <w:t xml:space="preserve">, 680 F.3d 1321, 1323 (11th Cir. 2012); </w:t>
      </w:r>
      <w:r w:rsidRPr="0038602E">
        <w:rPr>
          <w:i/>
        </w:rPr>
        <w:t>see also</w:t>
      </w:r>
      <w:r w:rsidRPr="0038602E">
        <w:t xml:space="preserve"> </w:t>
      </w:r>
      <w:r w:rsidRPr="0038602E">
        <w:rPr>
          <w:i/>
        </w:rPr>
        <w:t>Johnson v. Att</w:t>
      </w:r>
      <w:r>
        <w:rPr>
          <w:i/>
        </w:rPr>
        <w:t>’</w:t>
      </w:r>
      <w:r w:rsidRPr="0038602E">
        <w:rPr>
          <w:i/>
        </w:rPr>
        <w:t>y Gen.</w:t>
      </w:r>
      <w:r w:rsidRPr="0038602E">
        <w:t xml:space="preserve">, 602 F.3d 508 (3d Cir. 2010); </w:t>
      </w:r>
      <w:r w:rsidRPr="0038602E">
        <w:rPr>
          <w:i/>
        </w:rPr>
        <w:t>Wilmore v. Gonzales</w:t>
      </w:r>
      <w:r w:rsidRPr="0038602E">
        <w:t>, 455 F.3d 524 (5th Cir. 2006)</w:t>
      </w:r>
    </w:p>
  </w:footnote>
  <w:footnote w:id="22">
    <w:p w:rsidR="003F5A13" w:rsidRDefault="003F5A13">
      <w:pPr>
        <w:pStyle w:val="FootnoteText"/>
      </w:pPr>
      <w:r>
        <w:rPr>
          <w:rStyle w:val="FootnoteReference"/>
        </w:rPr>
        <w:footnoteRef/>
      </w:r>
      <w:r>
        <w:t xml:space="preserve"> </w:t>
      </w:r>
      <w:r w:rsidRPr="003F5A13">
        <w:rPr>
          <w:i/>
        </w:rPr>
        <w:t>Wilmore v. Gonzalez</w:t>
      </w:r>
      <w:r>
        <w:t>, 455F.3d 524 (5</w:t>
      </w:r>
      <w:r w:rsidRPr="003F5A13">
        <w:rPr>
          <w:vertAlign w:val="superscript"/>
        </w:rPr>
        <w:t>th</w:t>
      </w:r>
      <w:r>
        <w:t xml:space="preserve"> Cir. 2006).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C66E9"/>
    <w:multiLevelType w:val="hybridMultilevel"/>
    <w:tmpl w:val="83D86F0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0BF"/>
    <w:rsid w:val="00031C4C"/>
    <w:rsid w:val="000900C5"/>
    <w:rsid w:val="00143700"/>
    <w:rsid w:val="001E0C0A"/>
    <w:rsid w:val="001E38C3"/>
    <w:rsid w:val="00255E15"/>
    <w:rsid w:val="002F3E5D"/>
    <w:rsid w:val="003F5A13"/>
    <w:rsid w:val="004C584A"/>
    <w:rsid w:val="005E4247"/>
    <w:rsid w:val="0083157A"/>
    <w:rsid w:val="00863EBA"/>
    <w:rsid w:val="009E4DAC"/>
    <w:rsid w:val="00A31DF8"/>
    <w:rsid w:val="00AE65D0"/>
    <w:rsid w:val="00B06CF7"/>
    <w:rsid w:val="00B15086"/>
    <w:rsid w:val="00B85139"/>
    <w:rsid w:val="00C07AE4"/>
    <w:rsid w:val="00C11A8C"/>
    <w:rsid w:val="00C34C25"/>
    <w:rsid w:val="00C96141"/>
    <w:rsid w:val="00CB3B2B"/>
    <w:rsid w:val="00CE42B7"/>
    <w:rsid w:val="00DA40BF"/>
    <w:rsid w:val="00E4748A"/>
    <w:rsid w:val="00EA6685"/>
    <w:rsid w:val="00FA5036"/>
    <w:rsid w:val="00FB7BB2"/>
    <w:rsid w:val="00FE4F87"/>
    <w:rsid w:val="00FE6EFF"/>
    <w:rsid w:val="00FF4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0BF"/>
    <w:rPr>
      <w:sz w:val="20"/>
      <w:szCs w:val="20"/>
    </w:rPr>
  </w:style>
  <w:style w:type="character" w:styleId="FootnoteReference">
    <w:name w:val="footnote reference"/>
    <w:unhideWhenUsed/>
    <w:rsid w:val="00DA40BF"/>
    <w:rPr>
      <w:rFonts w:ascii="Times New Roman" w:hAnsi="Times New Roman"/>
      <w:sz w:val="20"/>
      <w:vertAlign w:val="superscript"/>
    </w:rPr>
  </w:style>
  <w:style w:type="character" w:styleId="CommentReference">
    <w:name w:val="annotation reference"/>
    <w:uiPriority w:val="99"/>
    <w:semiHidden/>
    <w:unhideWhenUsed/>
    <w:rsid w:val="00DA40BF"/>
    <w:rPr>
      <w:sz w:val="16"/>
      <w:szCs w:val="16"/>
    </w:rPr>
  </w:style>
  <w:style w:type="paragraph" w:styleId="CommentText">
    <w:name w:val="annotation text"/>
    <w:basedOn w:val="Normal"/>
    <w:link w:val="CommentTextChar"/>
    <w:uiPriority w:val="99"/>
    <w:semiHidden/>
    <w:unhideWhenUsed/>
    <w:rsid w:val="00DA40BF"/>
    <w:pPr>
      <w:spacing w:after="0" w:line="240" w:lineRule="auto"/>
    </w:pPr>
    <w:rPr>
      <w:rFonts w:ascii="Cambria" w:eastAsia="MS Mincho" w:hAnsi="Cambria" w:cs="Times New Roman"/>
      <w:sz w:val="20"/>
      <w:szCs w:val="20"/>
      <w:lang w:val="x-none" w:eastAsia="x-none"/>
    </w:rPr>
  </w:style>
  <w:style w:type="character" w:customStyle="1" w:styleId="CommentTextChar">
    <w:name w:val="Comment Text Char"/>
    <w:basedOn w:val="DefaultParagraphFont"/>
    <w:link w:val="CommentText"/>
    <w:uiPriority w:val="99"/>
    <w:semiHidden/>
    <w:rsid w:val="00DA40BF"/>
    <w:rPr>
      <w:rFonts w:ascii="Cambria" w:eastAsia="MS Mincho" w:hAnsi="Cambria" w:cs="Times New Roman"/>
      <w:sz w:val="20"/>
      <w:szCs w:val="20"/>
      <w:lang w:val="x-none" w:eastAsia="x-none"/>
    </w:rPr>
  </w:style>
  <w:style w:type="paragraph" w:styleId="BalloonText">
    <w:name w:val="Balloon Text"/>
    <w:basedOn w:val="Normal"/>
    <w:link w:val="BalloonTextChar"/>
    <w:uiPriority w:val="99"/>
    <w:semiHidden/>
    <w:unhideWhenUsed/>
    <w:rsid w:val="00DA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BF"/>
    <w:rPr>
      <w:rFonts w:ascii="Tahoma" w:hAnsi="Tahoma" w:cs="Tahoma"/>
      <w:sz w:val="16"/>
      <w:szCs w:val="16"/>
    </w:rPr>
  </w:style>
  <w:style w:type="paragraph" w:styleId="NormalWeb">
    <w:name w:val="Normal (Web)"/>
    <w:basedOn w:val="Normal"/>
    <w:uiPriority w:val="99"/>
    <w:semiHidden/>
    <w:unhideWhenUsed/>
    <w:rsid w:val="00C34C25"/>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A40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40BF"/>
    <w:rPr>
      <w:sz w:val="20"/>
      <w:szCs w:val="20"/>
    </w:rPr>
  </w:style>
  <w:style w:type="character" w:styleId="FootnoteReference">
    <w:name w:val="footnote reference"/>
    <w:unhideWhenUsed/>
    <w:rsid w:val="00DA40BF"/>
    <w:rPr>
      <w:rFonts w:ascii="Times New Roman" w:hAnsi="Times New Roman"/>
      <w:sz w:val="20"/>
      <w:vertAlign w:val="superscript"/>
    </w:rPr>
  </w:style>
  <w:style w:type="character" w:styleId="CommentReference">
    <w:name w:val="annotation reference"/>
    <w:uiPriority w:val="99"/>
    <w:semiHidden/>
    <w:unhideWhenUsed/>
    <w:rsid w:val="00DA40BF"/>
    <w:rPr>
      <w:sz w:val="16"/>
      <w:szCs w:val="16"/>
    </w:rPr>
  </w:style>
  <w:style w:type="paragraph" w:styleId="CommentText">
    <w:name w:val="annotation text"/>
    <w:basedOn w:val="Normal"/>
    <w:link w:val="CommentTextChar"/>
    <w:uiPriority w:val="99"/>
    <w:semiHidden/>
    <w:unhideWhenUsed/>
    <w:rsid w:val="00DA40BF"/>
    <w:pPr>
      <w:spacing w:after="0" w:line="240" w:lineRule="auto"/>
    </w:pPr>
    <w:rPr>
      <w:rFonts w:ascii="Cambria" w:eastAsia="MS Mincho" w:hAnsi="Cambria" w:cs="Times New Roman"/>
      <w:sz w:val="20"/>
      <w:szCs w:val="20"/>
      <w:lang w:val="x-none" w:eastAsia="x-none"/>
    </w:rPr>
  </w:style>
  <w:style w:type="character" w:customStyle="1" w:styleId="CommentTextChar">
    <w:name w:val="Comment Text Char"/>
    <w:basedOn w:val="DefaultParagraphFont"/>
    <w:link w:val="CommentText"/>
    <w:uiPriority w:val="99"/>
    <w:semiHidden/>
    <w:rsid w:val="00DA40BF"/>
    <w:rPr>
      <w:rFonts w:ascii="Cambria" w:eastAsia="MS Mincho" w:hAnsi="Cambria" w:cs="Times New Roman"/>
      <w:sz w:val="20"/>
      <w:szCs w:val="20"/>
      <w:lang w:val="x-none" w:eastAsia="x-none"/>
    </w:rPr>
  </w:style>
  <w:style w:type="paragraph" w:styleId="BalloonText">
    <w:name w:val="Balloon Text"/>
    <w:basedOn w:val="Normal"/>
    <w:link w:val="BalloonTextChar"/>
    <w:uiPriority w:val="99"/>
    <w:semiHidden/>
    <w:unhideWhenUsed/>
    <w:rsid w:val="00DA4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0BF"/>
    <w:rPr>
      <w:rFonts w:ascii="Tahoma" w:hAnsi="Tahoma" w:cs="Tahoma"/>
      <w:sz w:val="16"/>
      <w:szCs w:val="16"/>
    </w:rPr>
  </w:style>
  <w:style w:type="paragraph" w:styleId="NormalWeb">
    <w:name w:val="Normal (Web)"/>
    <w:basedOn w:val="Normal"/>
    <w:uiPriority w:val="99"/>
    <w:semiHidden/>
    <w:unhideWhenUsed/>
    <w:rsid w:val="00C34C2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37E7A-FF14-429A-9BD1-B4205BFA1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TotalTime>
  <Pages>1</Pages>
  <Words>2207</Words>
  <Characters>12585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 Davis</dc:creator>
  <cp:lastModifiedBy>Larry Davis</cp:lastModifiedBy>
  <cp:revision>5</cp:revision>
  <cp:lastPrinted>2014-04-05T01:31:00Z</cp:lastPrinted>
  <dcterms:created xsi:type="dcterms:W3CDTF">2014-04-03T23:47:00Z</dcterms:created>
  <dcterms:modified xsi:type="dcterms:W3CDTF">2014-04-08T21:42:00Z</dcterms:modified>
</cp:coreProperties>
</file>